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0DFA3D">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方正小标宋简体" w:hAnsi="方正小标宋简体" w:eastAsia="方正小标宋简体" w:cs="方正小标宋简体"/>
          <w:sz w:val="44"/>
          <w:szCs w:val="44"/>
          <w:lang w:val="en-US" w:eastAsia="zh-CN"/>
        </w:rPr>
      </w:pPr>
      <w:bookmarkStart w:id="356" w:name="_GoBack"/>
      <w:bookmarkEnd w:id="356"/>
      <w:r>
        <w:rPr>
          <w:rFonts w:hint="default" w:ascii="方正小标宋简体" w:hAnsi="方正小标宋简体" w:eastAsia="方正小标宋简体" w:cs="方正小标宋简体"/>
          <w:sz w:val="44"/>
          <w:szCs w:val="44"/>
          <w:lang w:val="en-US" w:eastAsia="zh-CN"/>
        </w:rPr>
        <w:t>汉中市汉台区国民经济和社会发展</w:t>
      </w:r>
    </w:p>
    <w:p w14:paraId="48AC6B2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方正小标宋简体" w:hAnsi="方正小标宋简体" w:eastAsia="方正小标宋简体" w:cs="方正小标宋简体"/>
          <w:sz w:val="44"/>
          <w:szCs w:val="44"/>
          <w:lang w:val="en-US" w:eastAsia="zh-CN"/>
        </w:rPr>
      </w:pPr>
      <w:r>
        <w:rPr>
          <w:rFonts w:hint="default" w:ascii="方正小标宋简体" w:hAnsi="方正小标宋简体" w:eastAsia="方正小标宋简体" w:cs="方正小标宋简体"/>
          <w:sz w:val="44"/>
          <w:szCs w:val="44"/>
          <w:lang w:val="en-US" w:eastAsia="zh-CN"/>
        </w:rPr>
        <w:t>第十五个五年规划纲要</w:t>
      </w:r>
    </w:p>
    <w:p w14:paraId="0C4FE0E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lang w:val="en-US" w:eastAsia="zh-CN"/>
        </w:rPr>
      </w:pPr>
    </w:p>
    <w:p w14:paraId="74BA69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44"/>
          <w:szCs w:val="44"/>
        </w:rPr>
      </w:pPr>
      <w:r>
        <w:rPr>
          <w:rFonts w:hint="eastAsia" w:ascii="黑体" w:hAnsi="黑体" w:eastAsia="黑体" w:cs="黑体"/>
          <w:sz w:val="44"/>
          <w:szCs w:val="44"/>
        </w:rPr>
        <w:br w:type="page"/>
      </w:r>
      <w:r>
        <w:rPr>
          <w:rFonts w:hint="eastAsia" w:ascii="黑体" w:hAnsi="黑体" w:eastAsia="黑体" w:cs="黑体"/>
          <w:sz w:val="44"/>
          <w:szCs w:val="44"/>
        </w:rPr>
        <w:t>目  录</w:t>
      </w:r>
    </w:p>
    <w:p w14:paraId="63D2716C">
      <w:pPr>
        <w:rPr>
          <w:rFonts w:hint="eastAsia"/>
        </w:rPr>
      </w:pPr>
    </w:p>
    <w:p w14:paraId="1345FBD4">
      <w:pPr>
        <w:keepNext w:val="0"/>
        <w:keepLines w:val="0"/>
        <w:pageBreakBefore w:val="0"/>
        <w:widowControl w:val="0"/>
        <w:tabs>
          <w:tab w:val="right" w:leader="middleDot" w:pos="8820"/>
        </w:tabs>
        <w:kinsoku/>
        <w:wordWrap/>
        <w:overflowPunct/>
        <w:topLinePunct w:val="0"/>
        <w:autoSpaceDE/>
        <w:autoSpaceDN/>
        <w:bidi w:val="0"/>
        <w:adjustRightInd/>
        <w:snapToGrid/>
        <w:spacing w:line="500" w:lineRule="exact"/>
        <w:ind w:firstLine="632" w:firstLineChars="200"/>
        <w:textAlignment w:val="auto"/>
        <w:rPr>
          <w:rFonts w:hint="eastAsia"/>
        </w:rPr>
      </w:pPr>
      <w:r>
        <w:rPr>
          <w:rFonts w:hint="eastAsia" w:ascii="方正小标宋简体" w:hAnsi="方正小标宋简体" w:eastAsia="方正小标宋简体" w:cs="方正小标宋简体"/>
          <w:sz w:val="32"/>
          <w:szCs w:val="32"/>
        </w:rPr>
        <w:t>第一章  贯彻落实重大决策部署，奋力谱写中国式现代化建设汉台新篇章</w:t>
      </w:r>
      <w:r>
        <w:rPr>
          <w:rFonts w:hint="eastAsia" w:ascii="CESI黑体-GB2312" w:hAnsi="CESI黑体-GB2312" w:eastAsia="CESI黑体-GB2312" w:cs="CESI黑体-GB2312"/>
          <w:lang w:val="en-US" w:eastAsia="zh-CN"/>
        </w:rPr>
        <w:tab/>
      </w:r>
      <w:r>
        <w:rPr>
          <w:rFonts w:hint="eastAsia"/>
        </w:rPr>
        <w:t>1</w:t>
      </w:r>
    </w:p>
    <w:p w14:paraId="24235342">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第一节  发展基础</w:t>
      </w:r>
      <w:r>
        <w:rPr>
          <w:rFonts w:hint="eastAsia" w:eastAsia="楷体_GB2312" w:cs="Times New Roman"/>
          <w:szCs w:val="24"/>
          <w:lang w:val="en-US" w:eastAsia="zh-CN"/>
        </w:rPr>
        <w:tab/>
      </w:r>
      <w:r>
        <w:rPr>
          <w:rFonts w:hint="eastAsia"/>
        </w:rPr>
        <w:t>1</w:t>
      </w:r>
    </w:p>
    <w:p w14:paraId="089B8159">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第二节  发展环境</w:t>
      </w:r>
      <w:r>
        <w:rPr>
          <w:rFonts w:hint="eastAsia" w:ascii="Times New Roman" w:hAnsi="Times New Roman" w:cs="Times New Roman"/>
          <w:lang w:val="en-US" w:eastAsia="zh-CN"/>
        </w:rPr>
        <w:tab/>
      </w:r>
      <w:r>
        <w:rPr>
          <w:rFonts w:hint="eastAsia"/>
        </w:rPr>
        <w:t>9</w:t>
      </w:r>
    </w:p>
    <w:p w14:paraId="4AD00288">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第三节  总体要求</w:t>
      </w:r>
      <w:r>
        <w:rPr>
          <w:rFonts w:hint="eastAsia"/>
          <w:lang w:val="en-US" w:eastAsia="zh-CN"/>
        </w:rPr>
        <w:tab/>
      </w:r>
      <w:r>
        <w:rPr>
          <w:rFonts w:hint="eastAsia"/>
        </w:rPr>
        <w:t>12</w:t>
      </w:r>
    </w:p>
    <w:p w14:paraId="69D62FA0">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第四节  发展目标</w:t>
      </w:r>
      <w:r>
        <w:rPr>
          <w:rFonts w:hint="eastAsia"/>
          <w:lang w:val="en-US" w:eastAsia="zh-CN"/>
        </w:rPr>
        <w:tab/>
      </w:r>
      <w:r>
        <w:rPr>
          <w:rFonts w:hint="eastAsia"/>
        </w:rPr>
        <w:t>17</w:t>
      </w:r>
    </w:p>
    <w:p w14:paraId="0364D1F3">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第五节  空间布局</w:t>
      </w:r>
      <w:r>
        <w:rPr>
          <w:rFonts w:hint="eastAsia"/>
          <w:lang w:val="en-US" w:eastAsia="zh-CN"/>
        </w:rPr>
        <w:tab/>
      </w:r>
      <w:r>
        <w:rPr>
          <w:rFonts w:hint="eastAsia"/>
        </w:rPr>
        <w:t>20</w:t>
      </w:r>
    </w:p>
    <w:p w14:paraId="29C6CA24">
      <w:pPr>
        <w:keepNext w:val="0"/>
        <w:keepLines w:val="0"/>
        <w:pageBreakBefore w:val="0"/>
        <w:widowControl w:val="0"/>
        <w:tabs>
          <w:tab w:val="right" w:leader="middleDot" w:pos="8820"/>
        </w:tabs>
        <w:kinsoku/>
        <w:wordWrap/>
        <w:overflowPunct/>
        <w:topLinePunct w:val="0"/>
        <w:autoSpaceDE/>
        <w:autoSpaceDN/>
        <w:bidi w:val="0"/>
        <w:adjustRightInd/>
        <w:snapToGrid/>
        <w:spacing w:line="500" w:lineRule="exact"/>
        <w:ind w:firstLine="632" w:firstLineChars="200"/>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第二章  构建现代化产业体系，塑造高质量发展新优势</w:t>
      </w:r>
      <w:r>
        <w:rPr>
          <w:rFonts w:hint="eastAsia"/>
          <w:lang w:val="en-US" w:eastAsia="zh-CN"/>
        </w:rPr>
        <w:tab/>
      </w:r>
      <w:r>
        <w:rPr>
          <w:rFonts w:hint="eastAsia" w:ascii="Times New Roman" w:hAnsi="Times New Roman" w:eastAsia="方正小标宋简体" w:cs="Times New Roman"/>
          <w:sz w:val="32"/>
          <w:szCs w:val="32"/>
        </w:rPr>
        <w:t>27</w:t>
      </w:r>
    </w:p>
    <w:p w14:paraId="652FAC44">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第一节  促进服务业优质高效发展</w:t>
      </w:r>
      <w:r>
        <w:rPr>
          <w:rFonts w:hint="eastAsia"/>
          <w:lang w:val="en-US" w:eastAsia="zh-CN"/>
        </w:rPr>
        <w:tab/>
      </w:r>
      <w:r>
        <w:rPr>
          <w:rFonts w:hint="eastAsia"/>
        </w:rPr>
        <w:t>27</w:t>
      </w:r>
    </w:p>
    <w:p w14:paraId="5C05D904">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第二节  推进制造业提质扩量增效</w:t>
      </w:r>
      <w:r>
        <w:rPr>
          <w:rFonts w:hint="eastAsia"/>
          <w:lang w:val="en-US" w:eastAsia="zh-CN"/>
        </w:rPr>
        <w:tab/>
      </w:r>
      <w:r>
        <w:rPr>
          <w:rFonts w:hint="eastAsia"/>
        </w:rPr>
        <w:t>41</w:t>
      </w:r>
    </w:p>
    <w:p w14:paraId="66758272">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第三节  培育壮大战略性新兴产业</w:t>
      </w:r>
      <w:r>
        <w:rPr>
          <w:rFonts w:hint="eastAsia"/>
          <w:lang w:val="en-US" w:eastAsia="zh-CN"/>
        </w:rPr>
        <w:tab/>
      </w:r>
      <w:r>
        <w:rPr>
          <w:rFonts w:hint="eastAsia"/>
        </w:rPr>
        <w:t>46</w:t>
      </w:r>
    </w:p>
    <w:p w14:paraId="4C0C92CC">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第四节  推进都市农业高质量发展</w:t>
      </w:r>
      <w:r>
        <w:rPr>
          <w:rFonts w:hint="eastAsia"/>
          <w:lang w:val="en-US" w:eastAsia="zh-CN"/>
        </w:rPr>
        <w:tab/>
      </w:r>
      <w:r>
        <w:rPr>
          <w:rFonts w:hint="eastAsia"/>
        </w:rPr>
        <w:t>50</w:t>
      </w:r>
    </w:p>
    <w:p w14:paraId="520FA575">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第五节  促进数字经济和实体经济深度融合</w:t>
      </w:r>
      <w:r>
        <w:rPr>
          <w:rFonts w:hint="eastAsia"/>
          <w:lang w:val="en-US" w:eastAsia="zh-CN"/>
        </w:rPr>
        <w:tab/>
      </w:r>
      <w:r>
        <w:rPr>
          <w:rFonts w:hint="eastAsia"/>
        </w:rPr>
        <w:t>5</w:t>
      </w:r>
      <w:r>
        <w:rPr>
          <w:rFonts w:hint="eastAsia"/>
          <w:lang w:val="en-US" w:eastAsia="zh-CN"/>
        </w:rPr>
        <w:t>4</w:t>
      </w:r>
    </w:p>
    <w:p w14:paraId="4A7921D1">
      <w:pPr>
        <w:keepNext w:val="0"/>
        <w:keepLines w:val="0"/>
        <w:pageBreakBefore w:val="0"/>
        <w:widowControl w:val="0"/>
        <w:tabs>
          <w:tab w:val="right" w:leader="middleDot" w:pos="8820"/>
        </w:tabs>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小标宋简体" w:cs="Times New Roman"/>
          <w:sz w:val="32"/>
          <w:szCs w:val="32"/>
        </w:rPr>
      </w:pPr>
      <w:r>
        <w:rPr>
          <w:rFonts w:hint="eastAsia" w:ascii="方正小标宋简体" w:hAnsi="方正小标宋简体" w:eastAsia="方正小标宋简体" w:cs="方正小标宋简体"/>
          <w:sz w:val="32"/>
          <w:szCs w:val="32"/>
        </w:rPr>
        <w:t>第三章  强化科技创新引领，建设新质生产力先行区</w:t>
      </w:r>
      <w:r>
        <w:rPr>
          <w:rFonts w:hint="eastAsia"/>
          <w:lang w:val="en-US" w:eastAsia="zh-CN"/>
        </w:rPr>
        <w:tab/>
      </w:r>
      <w:r>
        <w:rPr>
          <w:rFonts w:hint="eastAsia" w:ascii="Times New Roman" w:hAnsi="Times New Roman" w:eastAsia="方正小标宋简体" w:cs="Times New Roman"/>
          <w:sz w:val="32"/>
          <w:szCs w:val="32"/>
        </w:rPr>
        <w:t>57</w:t>
      </w:r>
    </w:p>
    <w:p w14:paraId="6CCADE42">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第一节  加强科技创新平台建设</w:t>
      </w:r>
      <w:r>
        <w:rPr>
          <w:rFonts w:hint="eastAsia"/>
          <w:lang w:val="en-US" w:eastAsia="zh-CN"/>
        </w:rPr>
        <w:tab/>
      </w:r>
      <w:r>
        <w:rPr>
          <w:rFonts w:hint="eastAsia"/>
        </w:rPr>
        <w:t>57</w:t>
      </w:r>
    </w:p>
    <w:p w14:paraId="536BE40D">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第二节  培育壮大科技创新主体</w:t>
      </w:r>
      <w:r>
        <w:rPr>
          <w:rFonts w:hint="eastAsia"/>
          <w:lang w:val="en-US" w:eastAsia="zh-CN"/>
        </w:rPr>
        <w:tab/>
      </w:r>
      <w:r>
        <w:rPr>
          <w:rFonts w:hint="eastAsia"/>
        </w:rPr>
        <w:t>58</w:t>
      </w:r>
    </w:p>
    <w:p w14:paraId="2305E13B">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default" w:eastAsia="仿宋_GB2312"/>
          <w:lang w:val="en-US" w:eastAsia="zh-CN"/>
        </w:rPr>
      </w:pPr>
      <w:r>
        <w:rPr>
          <w:rFonts w:hint="eastAsia" w:ascii="黑体" w:hAnsi="黑体" w:eastAsia="黑体" w:cs="黑体"/>
          <w:szCs w:val="24"/>
          <w:lang w:val="en-US"/>
        </w:rPr>
        <w:t>第三节  健全完善科技创新体系</w:t>
      </w:r>
      <w:r>
        <w:rPr>
          <w:rFonts w:hint="eastAsia"/>
          <w:lang w:val="en-US" w:eastAsia="zh-CN"/>
        </w:rPr>
        <w:tab/>
      </w:r>
      <w:r>
        <w:rPr>
          <w:rFonts w:hint="eastAsia"/>
          <w:lang w:val="en-US" w:eastAsia="zh-CN"/>
        </w:rPr>
        <w:t>59</w:t>
      </w:r>
    </w:p>
    <w:p w14:paraId="7E9D0268">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第四节  推动教育科技人才发展</w:t>
      </w:r>
      <w:r>
        <w:rPr>
          <w:rFonts w:hint="eastAsia"/>
          <w:lang w:val="en-US" w:eastAsia="zh-CN"/>
        </w:rPr>
        <w:tab/>
      </w:r>
      <w:r>
        <w:rPr>
          <w:rFonts w:hint="eastAsia"/>
        </w:rPr>
        <w:t>61</w:t>
      </w:r>
    </w:p>
    <w:p w14:paraId="538EB2F1">
      <w:pPr>
        <w:keepNext w:val="0"/>
        <w:keepLines w:val="0"/>
        <w:pageBreakBefore w:val="0"/>
        <w:widowControl w:val="0"/>
        <w:tabs>
          <w:tab w:val="right" w:leader="middleDot" w:pos="8820"/>
        </w:tabs>
        <w:kinsoku/>
        <w:wordWrap/>
        <w:overflowPunct/>
        <w:topLinePunct w:val="0"/>
        <w:autoSpaceDE/>
        <w:autoSpaceDN/>
        <w:bidi w:val="0"/>
        <w:adjustRightInd/>
        <w:snapToGrid/>
        <w:spacing w:line="500" w:lineRule="exact"/>
        <w:ind w:left="1896" w:leftChars="200" w:hanging="1264" w:hangingChars="400"/>
        <w:textAlignment w:val="auto"/>
        <w:rPr>
          <w:rFonts w:hint="eastAsia"/>
        </w:rPr>
      </w:pPr>
      <w:r>
        <w:rPr>
          <w:rFonts w:hint="eastAsia" w:ascii="方正小标宋简体" w:hAnsi="方正小标宋简体" w:eastAsia="方正小标宋简体" w:cs="方正小标宋简体"/>
          <w:sz w:val="32"/>
          <w:szCs w:val="32"/>
        </w:rPr>
        <w:t>第四章  加快激发内需潜力，主动融入和服务新发展格局</w:t>
      </w:r>
      <w:r>
        <w:rPr>
          <w:rFonts w:hint="eastAsia" w:ascii="方正小标宋简体" w:hAnsi="方正小标宋简体" w:eastAsia="方正小标宋简体" w:cs="方正小标宋简体"/>
          <w:sz w:val="32"/>
          <w:szCs w:val="32"/>
          <w:lang w:val="en-US" w:eastAsia="zh-CN"/>
        </w:rPr>
        <w:t xml:space="preserve"> </w:t>
      </w:r>
      <w:r>
        <w:rPr>
          <w:rFonts w:hint="eastAsia"/>
          <w:lang w:val="en-US" w:eastAsia="zh-CN"/>
        </w:rPr>
        <w:tab/>
      </w:r>
      <w:r>
        <w:rPr>
          <w:rFonts w:hint="eastAsia"/>
        </w:rPr>
        <w:t>64</w:t>
      </w:r>
    </w:p>
    <w:p w14:paraId="5A4D3738">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第一节  大力提振消费</w:t>
      </w:r>
      <w:r>
        <w:rPr>
          <w:rFonts w:hint="eastAsia"/>
          <w:lang w:val="en-US" w:eastAsia="zh-CN"/>
        </w:rPr>
        <w:tab/>
      </w:r>
      <w:r>
        <w:rPr>
          <w:rFonts w:hint="eastAsia"/>
        </w:rPr>
        <w:t>64</w:t>
      </w:r>
    </w:p>
    <w:p w14:paraId="6721CF97">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第二节  扩大有效投资</w:t>
      </w:r>
      <w:r>
        <w:rPr>
          <w:rFonts w:hint="eastAsia"/>
          <w:lang w:val="en-US" w:eastAsia="zh-CN"/>
        </w:rPr>
        <w:tab/>
      </w:r>
      <w:r>
        <w:rPr>
          <w:rFonts w:hint="eastAsia"/>
        </w:rPr>
        <w:t>66</w:t>
      </w:r>
    </w:p>
    <w:p w14:paraId="00FC8849">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第三节  提升基础设施现代化水平</w:t>
      </w:r>
      <w:r>
        <w:rPr>
          <w:rFonts w:hint="eastAsia"/>
          <w:lang w:val="en-US" w:eastAsia="zh-CN"/>
        </w:rPr>
        <w:tab/>
      </w:r>
      <w:r>
        <w:rPr>
          <w:rFonts w:hint="eastAsia"/>
        </w:rPr>
        <w:t>67</w:t>
      </w:r>
    </w:p>
    <w:p w14:paraId="69B49219">
      <w:pPr>
        <w:keepNext w:val="0"/>
        <w:keepLines w:val="0"/>
        <w:pageBreakBefore w:val="0"/>
        <w:widowControl w:val="0"/>
        <w:tabs>
          <w:tab w:val="right" w:leader="middleDot" w:pos="8820"/>
        </w:tabs>
        <w:kinsoku/>
        <w:wordWrap/>
        <w:overflowPunct/>
        <w:topLinePunct w:val="0"/>
        <w:autoSpaceDE/>
        <w:autoSpaceDN/>
        <w:bidi w:val="0"/>
        <w:adjustRightInd/>
        <w:snapToGrid/>
        <w:spacing w:line="500" w:lineRule="exact"/>
        <w:ind w:firstLine="632" w:firstLineChars="200"/>
        <w:textAlignment w:val="auto"/>
        <w:rPr>
          <w:rFonts w:hint="eastAsia"/>
        </w:rPr>
      </w:pPr>
      <w:r>
        <w:rPr>
          <w:rFonts w:hint="eastAsia" w:ascii="方正小标宋简体" w:hAnsi="方正小标宋简体" w:eastAsia="方正小标宋简体" w:cs="方正小标宋简体"/>
          <w:sz w:val="32"/>
          <w:szCs w:val="32"/>
        </w:rPr>
        <w:t>第五章  全面深化改革开放，增强内生发展动力和活力</w:t>
      </w:r>
      <w:r>
        <w:rPr>
          <w:rFonts w:hint="eastAsia"/>
          <w:lang w:val="en-US" w:eastAsia="zh-CN"/>
        </w:rPr>
        <w:tab/>
      </w:r>
      <w:r>
        <w:rPr>
          <w:rFonts w:hint="eastAsia"/>
        </w:rPr>
        <w:t>72</w:t>
      </w:r>
    </w:p>
    <w:p w14:paraId="3AAD0EE7">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第一节  深化重点领域改革</w:t>
      </w:r>
      <w:r>
        <w:rPr>
          <w:rFonts w:hint="eastAsia"/>
          <w:lang w:val="en-US" w:eastAsia="zh-CN"/>
        </w:rPr>
        <w:tab/>
      </w:r>
      <w:r>
        <w:rPr>
          <w:rFonts w:hint="eastAsia"/>
        </w:rPr>
        <w:t>72</w:t>
      </w:r>
    </w:p>
    <w:p w14:paraId="6399A866">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第二节  大力发展民营经济</w:t>
      </w:r>
      <w:r>
        <w:rPr>
          <w:rFonts w:hint="eastAsia"/>
          <w:lang w:val="en-US" w:eastAsia="zh-CN"/>
        </w:rPr>
        <w:tab/>
      </w:r>
      <w:r>
        <w:rPr>
          <w:rFonts w:hint="eastAsia"/>
        </w:rPr>
        <w:t>73</w:t>
      </w:r>
    </w:p>
    <w:p w14:paraId="267DF5FC">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第三节  打造一流营商环境</w:t>
      </w:r>
      <w:r>
        <w:rPr>
          <w:rFonts w:hint="eastAsia"/>
          <w:lang w:val="en-US" w:eastAsia="zh-CN"/>
        </w:rPr>
        <w:tab/>
      </w:r>
      <w:r>
        <w:rPr>
          <w:rFonts w:hint="eastAsia"/>
        </w:rPr>
        <w:t>75</w:t>
      </w:r>
    </w:p>
    <w:p w14:paraId="5ABE79F3">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第四节  加强对外交流合作</w:t>
      </w:r>
      <w:r>
        <w:rPr>
          <w:rFonts w:hint="eastAsia"/>
          <w:lang w:val="en-US" w:eastAsia="zh-CN"/>
        </w:rPr>
        <w:tab/>
      </w:r>
      <w:r>
        <w:rPr>
          <w:rFonts w:hint="eastAsia"/>
        </w:rPr>
        <w:t>7</w:t>
      </w:r>
      <w:r>
        <w:rPr>
          <w:rFonts w:hint="eastAsia"/>
          <w:lang w:val="en-US" w:eastAsia="zh-CN"/>
        </w:rPr>
        <w:t>6</w:t>
      </w:r>
    </w:p>
    <w:p w14:paraId="53C2E8F6">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第五节  培育壮大开放经济</w:t>
      </w:r>
      <w:r>
        <w:rPr>
          <w:rFonts w:hint="eastAsia"/>
          <w:lang w:val="en-US" w:eastAsia="zh-CN"/>
        </w:rPr>
        <w:tab/>
      </w:r>
      <w:r>
        <w:rPr>
          <w:rFonts w:hint="eastAsia"/>
        </w:rPr>
        <w:t>78</w:t>
      </w:r>
    </w:p>
    <w:p w14:paraId="7CF92E1C">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第六节  提升招商引资质效</w:t>
      </w:r>
      <w:r>
        <w:rPr>
          <w:rFonts w:hint="eastAsia"/>
          <w:lang w:val="en-US" w:eastAsia="zh-CN"/>
        </w:rPr>
        <w:tab/>
      </w:r>
      <w:r>
        <w:rPr>
          <w:rFonts w:hint="eastAsia"/>
        </w:rPr>
        <w:t>79</w:t>
      </w:r>
    </w:p>
    <w:p w14:paraId="0EE18F8F">
      <w:pPr>
        <w:keepNext w:val="0"/>
        <w:keepLines w:val="0"/>
        <w:pageBreakBefore w:val="0"/>
        <w:widowControl w:val="0"/>
        <w:tabs>
          <w:tab w:val="right" w:leader="middleDot" w:pos="8820"/>
        </w:tabs>
        <w:kinsoku/>
        <w:wordWrap/>
        <w:overflowPunct/>
        <w:topLinePunct w:val="0"/>
        <w:autoSpaceDE/>
        <w:autoSpaceDN/>
        <w:bidi w:val="0"/>
        <w:adjustRightInd/>
        <w:snapToGrid/>
        <w:spacing w:line="500" w:lineRule="exact"/>
        <w:ind w:firstLine="632" w:firstLineChars="200"/>
        <w:textAlignment w:val="auto"/>
        <w:rPr>
          <w:rFonts w:hint="eastAsia"/>
        </w:rPr>
      </w:pPr>
      <w:r>
        <w:rPr>
          <w:rFonts w:hint="eastAsia" w:ascii="方正小标宋简体" w:hAnsi="方正小标宋简体" w:eastAsia="方正小标宋简体" w:cs="方正小标宋简体"/>
          <w:sz w:val="32"/>
          <w:szCs w:val="32"/>
        </w:rPr>
        <w:t>第六章  促进城乡融合发展，打造更高能级品质城市</w:t>
      </w:r>
      <w:r>
        <w:rPr>
          <w:rFonts w:hint="eastAsia"/>
          <w:lang w:val="en-US" w:eastAsia="zh-CN"/>
        </w:rPr>
        <w:tab/>
      </w:r>
      <w:r>
        <w:rPr>
          <w:rFonts w:hint="eastAsia"/>
        </w:rPr>
        <w:t>81</w:t>
      </w:r>
    </w:p>
    <w:p w14:paraId="794550E7">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第一节  建设高品质现代化中心城区</w:t>
      </w:r>
      <w:r>
        <w:rPr>
          <w:rFonts w:hint="eastAsia"/>
          <w:lang w:val="en-US" w:eastAsia="zh-CN"/>
        </w:rPr>
        <w:tab/>
      </w:r>
      <w:r>
        <w:rPr>
          <w:rFonts w:hint="eastAsia"/>
        </w:rPr>
        <w:t>81</w:t>
      </w:r>
    </w:p>
    <w:p w14:paraId="27CD79A8">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第二节  提升城镇综合承载能力</w:t>
      </w:r>
      <w:r>
        <w:rPr>
          <w:rFonts w:hint="eastAsia"/>
          <w:lang w:val="en-US" w:eastAsia="zh-CN"/>
        </w:rPr>
        <w:tab/>
      </w:r>
      <w:r>
        <w:rPr>
          <w:rFonts w:hint="eastAsia"/>
        </w:rPr>
        <w:t>84</w:t>
      </w:r>
    </w:p>
    <w:p w14:paraId="38193D15">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第三节  扎实推进乡村全面振兴</w:t>
      </w:r>
      <w:r>
        <w:rPr>
          <w:rFonts w:hint="eastAsia"/>
          <w:lang w:val="en-US" w:eastAsia="zh-CN"/>
        </w:rPr>
        <w:tab/>
      </w:r>
      <w:r>
        <w:rPr>
          <w:rFonts w:hint="eastAsia"/>
        </w:rPr>
        <w:t>86</w:t>
      </w:r>
    </w:p>
    <w:p w14:paraId="1B888C24">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第四节  深入推进城乡融合发展</w:t>
      </w:r>
      <w:r>
        <w:rPr>
          <w:rFonts w:hint="eastAsia"/>
          <w:lang w:val="en-US" w:eastAsia="zh-CN"/>
        </w:rPr>
        <w:tab/>
      </w:r>
      <w:r>
        <w:rPr>
          <w:rFonts w:hint="eastAsia"/>
        </w:rPr>
        <w:t>9</w:t>
      </w:r>
      <w:r>
        <w:rPr>
          <w:rFonts w:hint="eastAsia"/>
          <w:lang w:val="en-US" w:eastAsia="zh-CN"/>
        </w:rPr>
        <w:t>2</w:t>
      </w:r>
    </w:p>
    <w:p w14:paraId="56B3DA0D">
      <w:pPr>
        <w:keepNext w:val="0"/>
        <w:keepLines w:val="0"/>
        <w:pageBreakBefore w:val="0"/>
        <w:widowControl w:val="0"/>
        <w:tabs>
          <w:tab w:val="right" w:leader="middleDot" w:pos="8820"/>
        </w:tabs>
        <w:kinsoku/>
        <w:wordWrap/>
        <w:overflowPunct/>
        <w:topLinePunct w:val="0"/>
        <w:autoSpaceDE/>
        <w:autoSpaceDN/>
        <w:bidi w:val="0"/>
        <w:adjustRightInd/>
        <w:snapToGrid/>
        <w:spacing w:line="500" w:lineRule="exact"/>
        <w:ind w:left="1896" w:leftChars="200" w:hanging="1264" w:hangingChars="400"/>
        <w:textAlignment w:val="auto"/>
        <w:rPr>
          <w:rFonts w:hint="eastAsia"/>
        </w:rPr>
      </w:pPr>
      <w:r>
        <w:rPr>
          <w:rFonts w:hint="eastAsia" w:ascii="方正小标宋简体" w:hAnsi="方正小标宋简体" w:eastAsia="方正小标宋简体" w:cs="方正小标宋简体"/>
          <w:sz w:val="32"/>
          <w:szCs w:val="32"/>
        </w:rPr>
        <w:t>第七章  筑牢生态文明绿色根基，谱写美丽汉台生动画卷</w:t>
      </w:r>
      <w:r>
        <w:rPr>
          <w:rFonts w:hint="eastAsia"/>
          <w:lang w:val="en-US" w:eastAsia="zh-CN"/>
        </w:rPr>
        <w:tab/>
      </w:r>
      <w:r>
        <w:rPr>
          <w:rFonts w:hint="eastAsia"/>
          <w:lang w:val="en-US" w:eastAsia="zh-CN"/>
        </w:rPr>
        <w:tab/>
      </w:r>
      <w:r>
        <w:rPr>
          <w:rFonts w:hint="eastAsia"/>
        </w:rPr>
        <w:t>94</w:t>
      </w:r>
    </w:p>
    <w:p w14:paraId="7F92BD97">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第一节  筑牢生态安全屏障</w:t>
      </w:r>
      <w:r>
        <w:rPr>
          <w:rFonts w:hint="eastAsia"/>
          <w:lang w:val="en-US" w:eastAsia="zh-CN"/>
        </w:rPr>
        <w:tab/>
      </w:r>
      <w:r>
        <w:rPr>
          <w:rFonts w:hint="eastAsia"/>
        </w:rPr>
        <w:t>94</w:t>
      </w:r>
    </w:p>
    <w:p w14:paraId="3E35F537">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Cs w:val="24"/>
          <w:lang w:val="en-US"/>
        </w:rPr>
        <w:t>第二节  加强减污降碳协同治理</w:t>
      </w:r>
      <w:r>
        <w:rPr>
          <w:rFonts w:hint="eastAsia"/>
          <w:lang w:val="en-US" w:eastAsia="zh-CN"/>
        </w:rPr>
        <w:tab/>
      </w:r>
      <w:r>
        <w:rPr>
          <w:rFonts w:hint="eastAsia"/>
        </w:rPr>
        <w:t>97</w:t>
      </w:r>
    </w:p>
    <w:p w14:paraId="1A97E6B1">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default" w:eastAsia="仿宋_GB2312"/>
          <w:lang w:val="en-US" w:eastAsia="zh-CN"/>
        </w:rPr>
      </w:pPr>
      <w:r>
        <w:rPr>
          <w:rFonts w:hint="eastAsia" w:ascii="黑体" w:hAnsi="黑体" w:eastAsia="黑体" w:cs="黑体"/>
          <w:szCs w:val="24"/>
          <w:lang w:val="en-US"/>
        </w:rPr>
        <w:t>第三节  推动绿色低碳循环发展</w:t>
      </w:r>
      <w:r>
        <w:rPr>
          <w:rFonts w:hint="eastAsia"/>
          <w:lang w:val="en-US" w:eastAsia="zh-CN"/>
        </w:rPr>
        <w:tab/>
      </w:r>
      <w:r>
        <w:rPr>
          <w:rFonts w:hint="eastAsia"/>
          <w:lang w:val="en-US" w:eastAsia="zh-CN"/>
        </w:rPr>
        <w:t>99</w:t>
      </w:r>
    </w:p>
    <w:p w14:paraId="3D59CD3D">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第四节  推动生态产品价值实现</w:t>
      </w:r>
      <w:r>
        <w:rPr>
          <w:rFonts w:hint="eastAsia"/>
          <w:lang w:val="en-US" w:eastAsia="zh-CN"/>
        </w:rPr>
        <w:tab/>
      </w:r>
      <w:r>
        <w:rPr>
          <w:rFonts w:hint="eastAsia"/>
        </w:rPr>
        <w:t>10</w:t>
      </w:r>
      <w:r>
        <w:rPr>
          <w:rFonts w:hint="eastAsia"/>
          <w:lang w:val="en-US" w:eastAsia="zh-CN"/>
        </w:rPr>
        <w:t>1</w:t>
      </w:r>
    </w:p>
    <w:p w14:paraId="6E488611">
      <w:pPr>
        <w:keepNext w:val="0"/>
        <w:keepLines w:val="0"/>
        <w:pageBreakBefore w:val="0"/>
        <w:widowControl w:val="0"/>
        <w:tabs>
          <w:tab w:val="right" w:leader="middleDot" w:pos="8820"/>
        </w:tabs>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小标宋简体" w:cs="Times New Roman"/>
          <w:sz w:val="32"/>
          <w:szCs w:val="32"/>
          <w:lang w:eastAsia="zh-CN"/>
        </w:rPr>
      </w:pPr>
      <w:r>
        <w:rPr>
          <w:rFonts w:hint="eastAsia" w:ascii="方正小标宋简体" w:hAnsi="方正小标宋简体" w:eastAsia="方正小标宋简体" w:cs="方正小标宋简体"/>
          <w:sz w:val="32"/>
          <w:szCs w:val="32"/>
        </w:rPr>
        <w:t>第八章  推动文化繁荣发展，传承创新建设文化强区</w:t>
      </w:r>
      <w:r>
        <w:rPr>
          <w:rFonts w:hint="eastAsia"/>
          <w:lang w:val="en-US" w:eastAsia="zh-CN"/>
        </w:rPr>
        <w:tab/>
      </w:r>
      <w:r>
        <w:rPr>
          <w:rFonts w:hint="eastAsia" w:ascii="Times New Roman" w:hAnsi="Times New Roman" w:eastAsia="方正小标宋简体" w:cs="Times New Roman"/>
          <w:sz w:val="32"/>
          <w:szCs w:val="32"/>
        </w:rPr>
        <w:t>10</w:t>
      </w:r>
      <w:r>
        <w:rPr>
          <w:rFonts w:hint="eastAsia" w:ascii="Times New Roman" w:hAnsi="Times New Roman" w:eastAsia="方正小标宋简体" w:cs="Times New Roman"/>
          <w:sz w:val="32"/>
          <w:szCs w:val="32"/>
          <w:lang w:val="en-US" w:eastAsia="zh-CN"/>
        </w:rPr>
        <w:t>3</w:t>
      </w:r>
    </w:p>
    <w:p w14:paraId="19288699">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第一节  弘扬和践行社会主义核心价值观</w:t>
      </w:r>
      <w:r>
        <w:rPr>
          <w:rFonts w:hint="eastAsia"/>
          <w:lang w:val="en-US" w:eastAsia="zh-CN"/>
        </w:rPr>
        <w:tab/>
      </w:r>
      <w:r>
        <w:rPr>
          <w:rFonts w:hint="eastAsia"/>
        </w:rPr>
        <w:t>10</w:t>
      </w:r>
      <w:r>
        <w:rPr>
          <w:rFonts w:hint="eastAsia"/>
          <w:lang w:val="en-US" w:eastAsia="zh-CN"/>
        </w:rPr>
        <w:t>3</w:t>
      </w:r>
    </w:p>
    <w:p w14:paraId="783DBC59">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第二节  保护利用文化遗产</w:t>
      </w:r>
      <w:r>
        <w:rPr>
          <w:rFonts w:hint="eastAsia"/>
          <w:lang w:val="en-US" w:eastAsia="zh-CN"/>
        </w:rPr>
        <w:tab/>
      </w:r>
      <w:r>
        <w:rPr>
          <w:rFonts w:hint="eastAsia"/>
        </w:rPr>
        <w:t>10</w:t>
      </w:r>
      <w:r>
        <w:rPr>
          <w:rFonts w:hint="eastAsia"/>
          <w:lang w:val="en-US" w:eastAsia="zh-CN"/>
        </w:rPr>
        <w:t>4</w:t>
      </w:r>
    </w:p>
    <w:p w14:paraId="163798D5">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第三节  繁荣发展文化事业</w:t>
      </w:r>
      <w:r>
        <w:rPr>
          <w:rFonts w:hint="eastAsia"/>
          <w:lang w:val="en-US" w:eastAsia="zh-CN"/>
        </w:rPr>
        <w:tab/>
      </w:r>
      <w:r>
        <w:rPr>
          <w:rFonts w:hint="eastAsia"/>
        </w:rPr>
        <w:t>10</w:t>
      </w:r>
      <w:r>
        <w:rPr>
          <w:rFonts w:hint="eastAsia"/>
          <w:lang w:val="en-US" w:eastAsia="zh-CN"/>
        </w:rPr>
        <w:t>6</w:t>
      </w:r>
    </w:p>
    <w:p w14:paraId="3D53AA38">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第四节  加快发展文化产业</w:t>
      </w:r>
      <w:r>
        <w:rPr>
          <w:rFonts w:hint="eastAsia"/>
          <w:lang w:val="en-US" w:eastAsia="zh-CN"/>
        </w:rPr>
        <w:tab/>
      </w:r>
      <w:r>
        <w:rPr>
          <w:rFonts w:hint="eastAsia"/>
        </w:rPr>
        <w:t>10</w:t>
      </w:r>
      <w:r>
        <w:rPr>
          <w:rFonts w:hint="eastAsia"/>
          <w:lang w:val="en-US" w:eastAsia="zh-CN"/>
        </w:rPr>
        <w:t>7</w:t>
      </w:r>
    </w:p>
    <w:p w14:paraId="4FC609CE">
      <w:pPr>
        <w:keepNext w:val="0"/>
        <w:keepLines w:val="0"/>
        <w:pageBreakBefore w:val="0"/>
        <w:widowControl w:val="0"/>
        <w:tabs>
          <w:tab w:val="right" w:leader="middleDot" w:pos="8820"/>
        </w:tabs>
        <w:kinsoku/>
        <w:wordWrap/>
        <w:overflowPunct/>
        <w:topLinePunct w:val="0"/>
        <w:autoSpaceDE/>
        <w:autoSpaceDN/>
        <w:bidi w:val="0"/>
        <w:adjustRightInd/>
        <w:snapToGrid/>
        <w:spacing w:line="500" w:lineRule="exact"/>
        <w:ind w:firstLine="632" w:firstLineChars="200"/>
        <w:textAlignment w:val="auto"/>
        <w:rPr>
          <w:rFonts w:hint="default" w:ascii="Times New Roman" w:hAnsi="Times New Roman" w:eastAsia="方正小标宋简体" w:cs="Times New Roman"/>
          <w:sz w:val="32"/>
          <w:szCs w:val="32"/>
          <w:lang w:val="en-US" w:eastAsia="zh-CN"/>
        </w:rPr>
      </w:pPr>
      <w:r>
        <w:rPr>
          <w:rFonts w:hint="eastAsia" w:ascii="方正小标宋简体" w:hAnsi="方正小标宋简体" w:eastAsia="方正小标宋简体" w:cs="方正小标宋简体"/>
          <w:sz w:val="32"/>
          <w:szCs w:val="32"/>
        </w:rPr>
        <w:t>第九章  保障改善民生福祉，建设为民服务的首善区</w:t>
      </w:r>
      <w:r>
        <w:rPr>
          <w:rFonts w:hint="eastAsia"/>
          <w:lang w:val="en-US" w:eastAsia="zh-CN"/>
        </w:rPr>
        <w:tab/>
      </w:r>
      <w:r>
        <w:rPr>
          <w:rFonts w:hint="eastAsia" w:ascii="Times New Roman" w:hAnsi="Times New Roman" w:eastAsia="方正小标宋简体" w:cs="Times New Roman"/>
          <w:sz w:val="32"/>
          <w:szCs w:val="32"/>
        </w:rPr>
        <w:t>1</w:t>
      </w:r>
      <w:r>
        <w:rPr>
          <w:rFonts w:hint="eastAsia" w:ascii="Times New Roman" w:hAnsi="Times New Roman" w:eastAsia="方正小标宋简体" w:cs="Times New Roman"/>
          <w:sz w:val="32"/>
          <w:szCs w:val="32"/>
          <w:lang w:val="en-US" w:eastAsia="zh-CN"/>
        </w:rPr>
        <w:t>09</w:t>
      </w:r>
    </w:p>
    <w:p w14:paraId="177713A1">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default" w:eastAsia="仿宋_GB2312"/>
          <w:lang w:val="en-US" w:eastAsia="zh-CN"/>
        </w:rPr>
      </w:pPr>
      <w:r>
        <w:rPr>
          <w:rFonts w:hint="eastAsia" w:ascii="黑体" w:hAnsi="黑体" w:eastAsia="黑体" w:cs="黑体"/>
          <w:szCs w:val="24"/>
          <w:lang w:val="en-US"/>
        </w:rPr>
        <w:t>第一节  促进高质量充分就业</w:t>
      </w:r>
      <w:r>
        <w:rPr>
          <w:rFonts w:hint="eastAsia"/>
          <w:lang w:val="en-US" w:eastAsia="zh-CN"/>
        </w:rPr>
        <w:tab/>
      </w:r>
      <w:r>
        <w:rPr>
          <w:rFonts w:hint="eastAsia"/>
        </w:rPr>
        <w:t>1</w:t>
      </w:r>
      <w:r>
        <w:rPr>
          <w:rFonts w:hint="eastAsia"/>
          <w:lang w:val="en-US" w:eastAsia="zh-CN"/>
        </w:rPr>
        <w:t>09</w:t>
      </w:r>
    </w:p>
    <w:p w14:paraId="29683F08">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第二节  办好人民满意的教育</w:t>
      </w:r>
      <w:r>
        <w:rPr>
          <w:rFonts w:hint="eastAsia"/>
          <w:lang w:val="en-US" w:eastAsia="zh-CN"/>
        </w:rPr>
        <w:tab/>
      </w:r>
      <w:r>
        <w:rPr>
          <w:rFonts w:hint="eastAsia"/>
        </w:rPr>
        <w:t>11</w:t>
      </w:r>
      <w:r>
        <w:rPr>
          <w:rFonts w:hint="eastAsia"/>
          <w:lang w:val="en-US" w:eastAsia="zh-CN"/>
        </w:rPr>
        <w:t>1</w:t>
      </w:r>
    </w:p>
    <w:p w14:paraId="126AA064">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第三节  加快建设</w:t>
      </w:r>
      <w:r>
        <w:rPr>
          <w:rFonts w:hint="eastAsia" w:ascii="黑体" w:hAnsi="黑体" w:eastAsia="黑体" w:cs="黑体"/>
          <w:szCs w:val="24"/>
          <w:lang w:val="en-US" w:eastAsia="zh-CN"/>
        </w:rPr>
        <w:t>“</w:t>
      </w:r>
      <w:r>
        <w:rPr>
          <w:rFonts w:hint="eastAsia" w:ascii="黑体" w:hAnsi="黑体" w:eastAsia="黑体" w:cs="黑体"/>
          <w:szCs w:val="24"/>
          <w:lang w:val="en-US"/>
        </w:rPr>
        <w:t>健康汉台</w:t>
      </w:r>
      <w:r>
        <w:rPr>
          <w:rFonts w:hint="eastAsia" w:ascii="黑体" w:hAnsi="黑体" w:eastAsia="黑体" w:cs="黑体"/>
          <w:szCs w:val="24"/>
          <w:lang w:val="en-US" w:eastAsia="zh-CN"/>
        </w:rPr>
        <w:t>”</w:t>
      </w:r>
      <w:r>
        <w:rPr>
          <w:rFonts w:hint="eastAsia"/>
          <w:lang w:val="en-US" w:eastAsia="zh-CN"/>
        </w:rPr>
        <w:tab/>
      </w:r>
      <w:r>
        <w:rPr>
          <w:rFonts w:hint="eastAsia"/>
        </w:rPr>
        <w:t>11</w:t>
      </w:r>
      <w:r>
        <w:rPr>
          <w:rFonts w:hint="eastAsia"/>
          <w:lang w:val="en-US" w:eastAsia="zh-CN"/>
        </w:rPr>
        <w:t>5</w:t>
      </w:r>
    </w:p>
    <w:p w14:paraId="533E9881">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default" w:eastAsia="仿宋_GB2312"/>
          <w:lang w:val="en-US" w:eastAsia="zh-CN"/>
        </w:rPr>
      </w:pPr>
      <w:r>
        <w:rPr>
          <w:rFonts w:hint="eastAsia" w:ascii="黑体" w:hAnsi="黑体" w:eastAsia="黑体" w:cs="黑体"/>
          <w:szCs w:val="24"/>
          <w:lang w:val="en-US"/>
        </w:rPr>
        <w:t>第四节  推进人口高质量发展</w:t>
      </w:r>
      <w:r>
        <w:rPr>
          <w:rFonts w:hint="eastAsia"/>
          <w:lang w:val="en-US" w:eastAsia="zh-CN"/>
        </w:rPr>
        <w:tab/>
      </w:r>
      <w:r>
        <w:rPr>
          <w:rFonts w:hint="eastAsia"/>
        </w:rPr>
        <w:t>1</w:t>
      </w:r>
      <w:r>
        <w:rPr>
          <w:rFonts w:hint="eastAsia"/>
          <w:lang w:val="en-US" w:eastAsia="zh-CN"/>
        </w:rPr>
        <w:t>19</w:t>
      </w:r>
    </w:p>
    <w:p w14:paraId="39F5A0FE">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第五节  提升社会保障水平</w:t>
      </w:r>
      <w:r>
        <w:rPr>
          <w:rFonts w:hint="eastAsia"/>
          <w:lang w:val="en-US" w:eastAsia="zh-CN"/>
        </w:rPr>
        <w:tab/>
      </w:r>
      <w:r>
        <w:rPr>
          <w:rFonts w:hint="eastAsia"/>
        </w:rPr>
        <w:t>12</w:t>
      </w:r>
      <w:r>
        <w:rPr>
          <w:rFonts w:hint="eastAsia"/>
          <w:lang w:val="en-US" w:eastAsia="zh-CN"/>
        </w:rPr>
        <w:t>0</w:t>
      </w:r>
    </w:p>
    <w:p w14:paraId="4E1A95BC">
      <w:pPr>
        <w:keepNext w:val="0"/>
        <w:keepLines w:val="0"/>
        <w:pageBreakBefore w:val="0"/>
        <w:widowControl w:val="0"/>
        <w:tabs>
          <w:tab w:val="right" w:leader="middleDot" w:pos="8820"/>
        </w:tabs>
        <w:kinsoku/>
        <w:wordWrap/>
        <w:overflowPunct/>
        <w:topLinePunct w:val="0"/>
        <w:autoSpaceDE/>
        <w:autoSpaceDN/>
        <w:bidi w:val="0"/>
        <w:adjustRightInd/>
        <w:snapToGrid/>
        <w:spacing w:line="500" w:lineRule="exact"/>
        <w:ind w:firstLine="632" w:firstLineChars="200"/>
        <w:textAlignment w:val="auto"/>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rPr>
        <w:t>第十章  统筹发展和安全，打造基层治理的首善区</w:t>
      </w:r>
      <w:r>
        <w:rPr>
          <w:rFonts w:hint="eastAsia"/>
          <w:lang w:val="en-US" w:eastAsia="zh-CN"/>
        </w:rPr>
        <w:tab/>
      </w:r>
      <w:r>
        <w:rPr>
          <w:rFonts w:hint="eastAsia" w:ascii="Times New Roman" w:hAnsi="Times New Roman" w:eastAsia="方正小标宋简体" w:cs="Times New Roman"/>
          <w:sz w:val="32"/>
          <w:szCs w:val="32"/>
        </w:rPr>
        <w:t>12</w:t>
      </w:r>
      <w:r>
        <w:rPr>
          <w:rFonts w:hint="eastAsia" w:ascii="Times New Roman" w:hAnsi="Times New Roman" w:eastAsia="方正小标宋简体" w:cs="Times New Roman"/>
          <w:sz w:val="32"/>
          <w:szCs w:val="32"/>
          <w:lang w:val="en-US" w:eastAsia="zh-CN"/>
        </w:rPr>
        <w:t>4</w:t>
      </w:r>
    </w:p>
    <w:p w14:paraId="47375963">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第一节  加强重点领域安全能力建设</w:t>
      </w:r>
      <w:r>
        <w:rPr>
          <w:rFonts w:hint="eastAsia"/>
          <w:lang w:val="en-US" w:eastAsia="zh-CN"/>
        </w:rPr>
        <w:tab/>
      </w:r>
      <w:r>
        <w:rPr>
          <w:rFonts w:hint="eastAsia"/>
        </w:rPr>
        <w:t>12</w:t>
      </w:r>
      <w:r>
        <w:rPr>
          <w:rFonts w:hint="eastAsia"/>
          <w:lang w:val="en-US" w:eastAsia="zh-CN"/>
        </w:rPr>
        <w:t>4</w:t>
      </w:r>
    </w:p>
    <w:p w14:paraId="308A732A">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第二节  持续推动国防能力建设</w:t>
      </w:r>
      <w:r>
        <w:rPr>
          <w:rFonts w:hint="eastAsia"/>
          <w:lang w:val="en-US" w:eastAsia="zh-CN"/>
        </w:rPr>
        <w:tab/>
      </w:r>
      <w:r>
        <w:rPr>
          <w:rFonts w:hint="eastAsia"/>
        </w:rPr>
        <w:t>12</w:t>
      </w:r>
      <w:r>
        <w:rPr>
          <w:rFonts w:hint="eastAsia"/>
          <w:lang w:val="en-US" w:eastAsia="zh-CN"/>
        </w:rPr>
        <w:t>5</w:t>
      </w:r>
    </w:p>
    <w:p w14:paraId="6B034E0F">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第三节  全面提高公共安全保障能力</w:t>
      </w:r>
      <w:r>
        <w:rPr>
          <w:rFonts w:hint="eastAsia"/>
          <w:lang w:val="en-US" w:eastAsia="zh-CN"/>
        </w:rPr>
        <w:tab/>
      </w:r>
      <w:r>
        <w:rPr>
          <w:rFonts w:hint="eastAsia"/>
        </w:rPr>
        <w:t>12</w:t>
      </w:r>
      <w:r>
        <w:rPr>
          <w:rFonts w:hint="eastAsia"/>
          <w:lang w:val="en-US" w:eastAsia="zh-CN"/>
        </w:rPr>
        <w:t>5</w:t>
      </w:r>
    </w:p>
    <w:p w14:paraId="4891CAB2">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第四节  建设更高水平</w:t>
      </w:r>
      <w:r>
        <w:rPr>
          <w:rFonts w:hint="eastAsia" w:ascii="黑体" w:hAnsi="黑体" w:eastAsia="黑体" w:cs="黑体"/>
          <w:szCs w:val="24"/>
          <w:lang w:val="en-US" w:eastAsia="zh-CN"/>
        </w:rPr>
        <w:t>“</w:t>
      </w:r>
      <w:r>
        <w:rPr>
          <w:rFonts w:hint="eastAsia" w:ascii="黑体" w:hAnsi="黑体" w:eastAsia="黑体" w:cs="黑体"/>
          <w:szCs w:val="24"/>
          <w:lang w:val="en-US"/>
        </w:rPr>
        <w:t>法治汉台</w:t>
      </w:r>
      <w:r>
        <w:rPr>
          <w:rFonts w:hint="eastAsia" w:ascii="黑体" w:hAnsi="黑体" w:eastAsia="黑体" w:cs="黑体"/>
          <w:szCs w:val="24"/>
          <w:lang w:val="en-US" w:eastAsia="zh-CN"/>
        </w:rPr>
        <w:t>”</w:t>
      </w:r>
      <w:r>
        <w:rPr>
          <w:rFonts w:hint="eastAsia"/>
          <w:lang w:val="en-US" w:eastAsia="zh-CN"/>
        </w:rPr>
        <w:tab/>
      </w:r>
      <w:r>
        <w:rPr>
          <w:rFonts w:hint="eastAsia"/>
        </w:rPr>
        <w:t>12</w:t>
      </w:r>
      <w:r>
        <w:rPr>
          <w:rFonts w:hint="eastAsia"/>
          <w:lang w:val="en-US" w:eastAsia="zh-CN"/>
        </w:rPr>
        <w:t>7</w:t>
      </w:r>
    </w:p>
    <w:p w14:paraId="60843641">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default" w:eastAsia="仿宋_GB2312"/>
          <w:lang w:val="en-US" w:eastAsia="zh-CN"/>
        </w:rPr>
      </w:pPr>
      <w:r>
        <w:rPr>
          <w:rFonts w:hint="eastAsia" w:ascii="黑体" w:hAnsi="黑体" w:eastAsia="黑体" w:cs="黑体"/>
          <w:szCs w:val="24"/>
          <w:lang w:val="en-US"/>
        </w:rPr>
        <w:t>第五节  构建新时代社会治理新格局</w:t>
      </w:r>
      <w:r>
        <w:rPr>
          <w:rFonts w:hint="eastAsia"/>
          <w:lang w:val="en-US" w:eastAsia="zh-CN"/>
        </w:rPr>
        <w:tab/>
      </w:r>
      <w:r>
        <w:rPr>
          <w:rFonts w:hint="eastAsia"/>
        </w:rPr>
        <w:t>1</w:t>
      </w:r>
      <w:r>
        <w:rPr>
          <w:rFonts w:hint="eastAsia"/>
          <w:lang w:val="en-US" w:eastAsia="zh-CN"/>
        </w:rPr>
        <w:t>29</w:t>
      </w:r>
    </w:p>
    <w:p w14:paraId="57BE8A28">
      <w:pPr>
        <w:keepNext w:val="0"/>
        <w:keepLines w:val="0"/>
        <w:pageBreakBefore w:val="0"/>
        <w:widowControl w:val="0"/>
        <w:tabs>
          <w:tab w:val="right" w:leader="middleDot" w:pos="8820"/>
        </w:tabs>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小标宋简体" w:cs="Times New Roman"/>
          <w:sz w:val="32"/>
          <w:szCs w:val="32"/>
          <w:lang w:eastAsia="zh-CN"/>
        </w:rPr>
      </w:pPr>
      <w:r>
        <w:rPr>
          <w:rFonts w:hint="eastAsia" w:ascii="方正小标宋简体" w:hAnsi="方正小标宋简体" w:eastAsia="方正小标宋简体" w:cs="方正小标宋简体"/>
          <w:sz w:val="32"/>
          <w:szCs w:val="32"/>
        </w:rPr>
        <w:t>第十一章  加强党的全面领导，凝聚汉台奋斗中国式现代化建设磅礴力量</w:t>
      </w:r>
      <w:r>
        <w:rPr>
          <w:rFonts w:hint="eastAsia"/>
          <w:lang w:val="en-US" w:eastAsia="zh-CN"/>
        </w:rPr>
        <w:tab/>
      </w:r>
      <w:r>
        <w:rPr>
          <w:rFonts w:hint="eastAsia" w:ascii="Times New Roman" w:hAnsi="Times New Roman" w:eastAsia="方正小标宋简体" w:cs="Times New Roman"/>
          <w:sz w:val="32"/>
          <w:szCs w:val="32"/>
        </w:rPr>
        <w:t>13</w:t>
      </w:r>
      <w:r>
        <w:rPr>
          <w:rFonts w:hint="eastAsia" w:ascii="Times New Roman" w:hAnsi="Times New Roman" w:eastAsia="方正小标宋简体" w:cs="Times New Roman"/>
          <w:sz w:val="32"/>
          <w:szCs w:val="32"/>
          <w:lang w:val="en-US" w:eastAsia="zh-CN"/>
        </w:rPr>
        <w:t>1</w:t>
      </w:r>
    </w:p>
    <w:p w14:paraId="101D63EF">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第一节  坚持和加强党的全面领导</w:t>
      </w:r>
      <w:r>
        <w:rPr>
          <w:rFonts w:hint="eastAsia"/>
          <w:lang w:val="en-US" w:eastAsia="zh-CN"/>
        </w:rPr>
        <w:tab/>
      </w:r>
      <w:r>
        <w:rPr>
          <w:rFonts w:hint="eastAsia"/>
        </w:rPr>
        <w:t>13</w:t>
      </w:r>
      <w:r>
        <w:rPr>
          <w:rFonts w:hint="eastAsia"/>
          <w:lang w:val="en-US" w:eastAsia="zh-CN"/>
        </w:rPr>
        <w:t>1</w:t>
      </w:r>
    </w:p>
    <w:p w14:paraId="3D5ECE5F">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CESI黑体-GB2312" w:hAnsi="CESI黑体-GB2312" w:eastAsia="CESI黑体-GB2312" w:cs="CESI黑体-GB2312"/>
          <w:szCs w:val="24"/>
          <w:lang w:val="en-US"/>
        </w:rPr>
        <w:t>第二节  全面加强干部队伍建设</w:t>
      </w:r>
      <w:r>
        <w:rPr>
          <w:rFonts w:hint="eastAsia"/>
          <w:lang w:val="en-US" w:eastAsia="zh-CN"/>
        </w:rPr>
        <w:tab/>
      </w:r>
      <w:r>
        <w:rPr>
          <w:rFonts w:hint="eastAsia"/>
        </w:rPr>
        <w:t>13</w:t>
      </w:r>
      <w:r>
        <w:rPr>
          <w:rFonts w:hint="eastAsia"/>
          <w:lang w:val="en-US" w:eastAsia="zh-CN"/>
        </w:rPr>
        <w:t>1</w:t>
      </w:r>
    </w:p>
    <w:p w14:paraId="254AD761">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第三节  推动作风建设常态化长效化</w:t>
      </w:r>
      <w:r>
        <w:rPr>
          <w:rFonts w:hint="eastAsia"/>
          <w:lang w:val="en-US" w:eastAsia="zh-CN"/>
        </w:rPr>
        <w:tab/>
      </w:r>
      <w:r>
        <w:rPr>
          <w:rFonts w:hint="eastAsia"/>
        </w:rPr>
        <w:t>13</w:t>
      </w:r>
      <w:r>
        <w:rPr>
          <w:rFonts w:hint="eastAsia"/>
          <w:lang w:val="en-US" w:eastAsia="zh-CN"/>
        </w:rPr>
        <w:t>2</w:t>
      </w:r>
    </w:p>
    <w:p w14:paraId="1110853D">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第四节  推动社会主义民主法治建设</w:t>
      </w:r>
      <w:r>
        <w:rPr>
          <w:rFonts w:hint="eastAsia"/>
          <w:lang w:val="en-US" w:eastAsia="zh-CN"/>
        </w:rPr>
        <w:tab/>
      </w:r>
      <w:r>
        <w:rPr>
          <w:rFonts w:hint="eastAsia"/>
        </w:rPr>
        <w:t>13</w:t>
      </w:r>
      <w:r>
        <w:rPr>
          <w:rFonts w:hint="eastAsia"/>
          <w:lang w:val="en-US" w:eastAsia="zh-CN"/>
        </w:rPr>
        <w:t>2</w:t>
      </w:r>
    </w:p>
    <w:p w14:paraId="76942901">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第五节  广泛凝聚各方面智慧力量</w:t>
      </w:r>
      <w:r>
        <w:rPr>
          <w:rFonts w:hint="eastAsia"/>
          <w:lang w:val="en-US" w:eastAsia="zh-CN"/>
        </w:rPr>
        <w:tab/>
      </w:r>
      <w:r>
        <w:rPr>
          <w:rFonts w:hint="eastAsia"/>
        </w:rPr>
        <w:t>13</w:t>
      </w:r>
      <w:r>
        <w:rPr>
          <w:rFonts w:hint="eastAsia"/>
          <w:lang w:val="en-US" w:eastAsia="zh-CN"/>
        </w:rPr>
        <w:t>3</w:t>
      </w:r>
    </w:p>
    <w:p w14:paraId="0EAB4A76">
      <w:pPr>
        <w:keepNext w:val="0"/>
        <w:keepLines w:val="0"/>
        <w:pageBreakBefore w:val="0"/>
        <w:widowControl w:val="0"/>
        <w:tabs>
          <w:tab w:val="right" w:leader="middleDot" w:pos="8820"/>
        </w:tabs>
        <w:kinsoku/>
        <w:wordWrap/>
        <w:overflowPunct/>
        <w:topLinePunct w:val="0"/>
        <w:autoSpaceDE/>
        <w:autoSpaceDN/>
        <w:bidi w:val="0"/>
        <w:adjustRightInd/>
        <w:snapToGrid/>
        <w:spacing w:line="500" w:lineRule="exact"/>
        <w:ind w:firstLine="632" w:firstLineChars="200"/>
        <w:textAlignment w:val="auto"/>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rPr>
        <w:t>第十二章  强化多元保障，推动规划目标任务实施</w:t>
      </w:r>
      <w:r>
        <w:rPr>
          <w:rFonts w:hint="eastAsia"/>
          <w:lang w:val="en-US" w:eastAsia="zh-CN"/>
        </w:rPr>
        <w:tab/>
      </w:r>
      <w:r>
        <w:rPr>
          <w:rFonts w:hint="default" w:ascii="Times New Roman" w:hAnsi="Times New Roman" w:eastAsia="方正小标宋简体" w:cs="Times New Roman"/>
          <w:sz w:val="32"/>
          <w:szCs w:val="32"/>
        </w:rPr>
        <w:t>13</w:t>
      </w:r>
      <w:r>
        <w:rPr>
          <w:rFonts w:hint="eastAsia" w:eastAsia="方正小标宋简体" w:cs="Times New Roman"/>
          <w:sz w:val="32"/>
          <w:szCs w:val="32"/>
          <w:lang w:val="en-US" w:eastAsia="zh-CN"/>
        </w:rPr>
        <w:t>4</w:t>
      </w:r>
    </w:p>
    <w:p w14:paraId="29C21100">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第一节  健全规划实施体系</w:t>
      </w:r>
      <w:r>
        <w:rPr>
          <w:rFonts w:hint="eastAsia"/>
          <w:lang w:val="en-US" w:eastAsia="zh-CN"/>
        </w:rPr>
        <w:tab/>
      </w:r>
      <w:r>
        <w:rPr>
          <w:rFonts w:hint="eastAsia"/>
        </w:rPr>
        <w:t>13</w:t>
      </w:r>
      <w:r>
        <w:rPr>
          <w:rFonts w:hint="eastAsia"/>
          <w:lang w:val="en-US" w:eastAsia="zh-CN"/>
        </w:rPr>
        <w:t>4</w:t>
      </w:r>
    </w:p>
    <w:p w14:paraId="0606A572">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第二节  强化要素保障支撑</w:t>
      </w:r>
      <w:r>
        <w:rPr>
          <w:rFonts w:hint="eastAsia"/>
          <w:lang w:val="en-US" w:eastAsia="zh-CN"/>
        </w:rPr>
        <w:tab/>
      </w:r>
      <w:r>
        <w:rPr>
          <w:rFonts w:hint="eastAsia"/>
        </w:rPr>
        <w:t>13</w:t>
      </w:r>
      <w:r>
        <w:rPr>
          <w:rFonts w:hint="eastAsia"/>
          <w:lang w:val="en-US" w:eastAsia="zh-CN"/>
        </w:rPr>
        <w:t>4</w:t>
      </w:r>
    </w:p>
    <w:p w14:paraId="29B2DFB0">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黑体" w:hAnsi="黑体" w:eastAsia="黑体" w:cs="黑体"/>
          <w:szCs w:val="24"/>
          <w:lang w:val="en-US"/>
        </w:rPr>
        <w:t>第三节  建立健全考核监督体系</w:t>
      </w:r>
      <w:r>
        <w:rPr>
          <w:rFonts w:hint="eastAsia"/>
          <w:lang w:val="en-US" w:eastAsia="zh-CN"/>
        </w:rPr>
        <w:tab/>
      </w:r>
      <w:r>
        <w:rPr>
          <w:rFonts w:hint="eastAsia"/>
        </w:rPr>
        <w:t>13</w:t>
      </w:r>
      <w:r>
        <w:rPr>
          <w:rFonts w:hint="eastAsia"/>
          <w:lang w:val="en-US" w:eastAsia="zh-CN"/>
        </w:rPr>
        <w:t>5</w:t>
      </w:r>
    </w:p>
    <w:p w14:paraId="650E6089">
      <w:pPr>
        <w:keepNext w:val="0"/>
        <w:keepLines w:val="0"/>
        <w:pageBreakBefore w:val="0"/>
        <w:widowControl w:val="0"/>
        <w:tabs>
          <w:tab w:val="right" w:leader="middleDot" w:pos="8820"/>
        </w:tabs>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方正小标宋简体" w:hAnsi="方正小标宋简体" w:eastAsia="方正小标宋简体" w:cs="方正小标宋简体"/>
          <w:sz w:val="32"/>
          <w:szCs w:val="32"/>
        </w:rPr>
        <w:t>名词解释</w:t>
      </w:r>
      <w:r>
        <w:rPr>
          <w:rFonts w:hint="eastAsia"/>
          <w:lang w:val="en-US" w:eastAsia="zh-CN"/>
        </w:rPr>
        <w:tab/>
      </w:r>
      <w:r>
        <w:rPr>
          <w:rFonts w:hint="eastAsia"/>
        </w:rPr>
        <w:t>13</w:t>
      </w:r>
      <w:r>
        <w:rPr>
          <w:rFonts w:hint="eastAsia"/>
          <w:lang w:val="en-US" w:eastAsia="zh-CN"/>
        </w:rPr>
        <w:t>6</w:t>
      </w:r>
    </w:p>
    <w:p w14:paraId="0CC4F3B9">
      <w:pPr>
        <w:keepNext w:val="0"/>
        <w:keepLines w:val="0"/>
        <w:pageBreakBefore w:val="0"/>
        <w:kinsoku/>
        <w:wordWrap/>
        <w:overflowPunct/>
        <w:topLinePunct w:val="0"/>
        <w:autoSpaceDE/>
        <w:autoSpaceDN/>
        <w:bidi w:val="0"/>
        <w:adjustRightInd/>
        <w:snapToGrid/>
        <w:spacing w:line="240" w:lineRule="auto"/>
        <w:ind w:firstLine="632" w:firstLineChars="200"/>
        <w:rPr>
          <w:rFonts w:hint="eastAsia" w:ascii="CESI黑体-GB2312" w:hAnsi="CESI黑体-GB2312" w:eastAsia="CESI黑体-GB2312" w:cs="CESI黑体-GB2312"/>
          <w:lang w:val="en-US" w:eastAsia="zh-CN"/>
        </w:rPr>
        <w:sectPr>
          <w:footerReference r:id="rId3" w:type="default"/>
          <w:footerReference r:id="rId4" w:type="even"/>
          <w:pgSz w:w="11906" w:h="16838"/>
          <w:pgMar w:top="2098" w:right="1474" w:bottom="1984" w:left="1587" w:header="851" w:footer="1304" w:gutter="0"/>
          <w:paperSrc/>
          <w:pgBorders>
            <w:top w:val="none" w:sz="0" w:space="0"/>
            <w:left w:val="none" w:sz="0" w:space="0"/>
            <w:bottom w:val="none" w:sz="0" w:space="0"/>
            <w:right w:val="none" w:sz="0" w:space="0"/>
          </w:pgBorders>
          <w:pgNumType w:fmt="decimal"/>
          <w:cols w:space="720" w:num="1"/>
          <w:rtlGutter w:val="0"/>
          <w:docGrid w:type="linesAndChars" w:linePitch="579" w:charSpace="-842"/>
        </w:sectPr>
      </w:pPr>
      <w:bookmarkStart w:id="0" w:name="_Toc6260"/>
      <w:bookmarkStart w:id="1" w:name="_Toc24521"/>
      <w:bookmarkStart w:id="2" w:name="_Toc28792"/>
    </w:p>
    <w:p w14:paraId="44992E1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第一章  贯彻落实重大决策部署，奋力谱写</w:t>
      </w:r>
    </w:p>
    <w:p w14:paraId="48FB27F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中国式现代化建设汉台</w:t>
      </w:r>
      <w:bookmarkEnd w:id="0"/>
      <w:r>
        <w:rPr>
          <w:rFonts w:hint="eastAsia" w:ascii="方正小标宋简体" w:hAnsi="方正小标宋简体" w:eastAsia="方正小标宋简体" w:cs="方正小标宋简体"/>
          <w:sz w:val="44"/>
          <w:szCs w:val="44"/>
          <w:lang w:val="en-US" w:eastAsia="zh-CN"/>
        </w:rPr>
        <w:t>新篇章</w:t>
      </w:r>
      <w:bookmarkEnd w:id="1"/>
      <w:bookmarkEnd w:id="2"/>
    </w:p>
    <w:p w14:paraId="278E2C53">
      <w:pPr>
        <w:rPr>
          <w:rFonts w:hint="default"/>
          <w:lang w:val="en-US" w:eastAsia="zh-CN"/>
        </w:rPr>
      </w:pPr>
    </w:p>
    <w:p w14:paraId="296AD912">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 w:val="32"/>
          <w:szCs w:val="32"/>
          <w:lang w:val="en-US" w:eastAsia="zh-CN"/>
        </w:rPr>
      </w:pPr>
      <w:r>
        <w:rPr>
          <w:rFonts w:hint="default" w:ascii="Times New Roman" w:hAnsi="Times New Roman" w:cs="Times New Roman"/>
          <w:color w:val="auto"/>
          <w:sz w:val="32"/>
          <w:szCs w:val="32"/>
          <w:lang w:val="en-US" w:eastAsia="zh-CN"/>
        </w:rPr>
        <w:t>全面总结</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十四五</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时期发展成就和经验，准确把握汉台区发展阶段性特征和历史机遇，前瞻性分析发展环境变化带来的影响，明确</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十五五</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时期发展的指导思想、基本原则、战略定位和发展目标，奋力谱写中国式现代化建设汉台新篇章。</w:t>
      </w:r>
    </w:p>
    <w:p w14:paraId="40145D00">
      <w:pPr>
        <w:pStyle w:val="6"/>
        <w:keepNext w:val="0"/>
        <w:keepLines w:val="0"/>
        <w:pageBreakBefore w:val="0"/>
        <w:widowControl w:val="0"/>
        <w:kinsoku/>
        <w:wordWrap/>
        <w:overflowPunct/>
        <w:topLinePunct w:val="0"/>
        <w:autoSpaceDE/>
        <w:autoSpaceDN/>
        <w:bidi w:val="0"/>
        <w:adjustRightInd/>
        <w:snapToGrid/>
        <w:spacing w:before="0" w:after="0" w:line="240" w:lineRule="auto"/>
        <w:ind w:firstLine="632" w:firstLineChars="200"/>
        <w:jc w:val="center"/>
        <w:textAlignment w:val="center"/>
        <w:rPr>
          <w:rFonts w:hint="eastAsia" w:ascii="CESI黑体-GB2312" w:hAnsi="CESI黑体-GB2312" w:eastAsia="CESI黑体-GB2312" w:cs="CESI黑体-GB2312"/>
          <w:b w:val="0"/>
          <w:bCs/>
          <w:color w:val="auto"/>
          <w:lang w:val="en-US" w:eastAsia="zh-CN"/>
        </w:rPr>
      </w:pPr>
      <w:bookmarkStart w:id="3" w:name="_Toc29202"/>
      <w:bookmarkStart w:id="4" w:name="_Toc15432"/>
      <w:bookmarkStart w:id="5" w:name="_Toc9306"/>
      <w:r>
        <w:rPr>
          <w:rFonts w:hint="eastAsia" w:ascii="CESI黑体-GB2312" w:hAnsi="CESI黑体-GB2312" w:eastAsia="CESI黑体-GB2312" w:cs="CESI黑体-GB2312"/>
          <w:b w:val="0"/>
          <w:bCs/>
          <w:color w:val="auto"/>
          <w:lang w:val="en-US" w:eastAsia="zh-CN"/>
        </w:rPr>
        <w:t xml:space="preserve">第一节  </w:t>
      </w:r>
      <w:bookmarkEnd w:id="3"/>
      <w:r>
        <w:rPr>
          <w:rFonts w:hint="eastAsia" w:ascii="CESI黑体-GB2312" w:hAnsi="CESI黑体-GB2312" w:eastAsia="CESI黑体-GB2312" w:cs="CESI黑体-GB2312"/>
          <w:b w:val="0"/>
          <w:bCs/>
          <w:color w:val="auto"/>
          <w:lang w:val="en-US" w:eastAsia="zh-CN"/>
        </w:rPr>
        <w:t>发展基础</w:t>
      </w:r>
      <w:bookmarkEnd w:id="4"/>
      <w:bookmarkEnd w:id="5"/>
    </w:p>
    <w:p w14:paraId="42714A02">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 w:val="32"/>
          <w:szCs w:val="32"/>
          <w:lang w:val="en-US" w:eastAsia="zh-CN"/>
        </w:rPr>
      </w:pPr>
      <w:r>
        <w:rPr>
          <w:rFonts w:hint="eastAsia" w:cs="Times New Roman"/>
          <w:color w:val="auto"/>
          <w:sz w:val="32"/>
          <w:szCs w:val="32"/>
          <w:lang w:eastAsia="zh-CN"/>
        </w:rPr>
        <w:t>“</w:t>
      </w:r>
      <w:r>
        <w:rPr>
          <w:rFonts w:hint="default" w:ascii="Times New Roman" w:hAnsi="Times New Roman" w:eastAsia="仿宋_GB2312" w:cs="Times New Roman"/>
          <w:color w:val="auto"/>
          <w:sz w:val="32"/>
          <w:szCs w:val="32"/>
        </w:rPr>
        <w:t>十四五</w:t>
      </w:r>
      <w:r>
        <w:rPr>
          <w:rFonts w:hint="eastAsia"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时期</w:t>
      </w:r>
      <w:r>
        <w:rPr>
          <w:rFonts w:hint="default" w:ascii="Times New Roman" w:hAnsi="Times New Roman" w:cs="Times New Roman"/>
          <w:color w:val="auto"/>
          <w:sz w:val="32"/>
          <w:szCs w:val="32"/>
          <w:lang w:val="en-US" w:eastAsia="zh-CN"/>
        </w:rPr>
        <w:t>，是汉台区发展极不寻常、极不平凡的五年。</w:t>
      </w:r>
      <w:r>
        <w:rPr>
          <w:rFonts w:hint="default" w:ascii="Times New Roman" w:hAnsi="Times New Roman" w:eastAsia="仿宋_GB2312" w:cs="Times New Roman"/>
          <w:color w:val="auto"/>
          <w:szCs w:val="32"/>
        </w:rPr>
        <w:t>在市委、市政府的坚强领导下，</w:t>
      </w:r>
      <w:r>
        <w:rPr>
          <w:rFonts w:hint="default" w:ascii="Times New Roman" w:hAnsi="Times New Roman" w:cs="Times New Roman"/>
          <w:color w:val="auto"/>
          <w:lang w:val="en-US" w:eastAsia="zh-CN"/>
        </w:rPr>
        <w:t>区委、区政府团结带领全区人民，</w:t>
      </w:r>
      <w:r>
        <w:rPr>
          <w:rFonts w:hint="default" w:ascii="Times New Roman" w:hAnsi="Times New Roman" w:eastAsia="仿宋_GB2312" w:cs="Times New Roman"/>
          <w:color w:val="auto"/>
          <w:lang w:val="en-US" w:eastAsia="zh-CN"/>
        </w:rPr>
        <w:t>贯通落实</w:t>
      </w:r>
      <w:r>
        <w:rPr>
          <w:rFonts w:hint="default" w:ascii="Times New Roman" w:hAnsi="Times New Roman" w:eastAsia="仿宋_GB2312" w:cs="Times New Roman"/>
          <w:color w:val="auto"/>
        </w:rPr>
        <w:t>习近平总</w:t>
      </w:r>
      <w:r>
        <w:rPr>
          <w:rFonts w:hint="default" w:ascii="Times New Roman" w:hAnsi="Times New Roman" w:eastAsia="仿宋_GB2312" w:cs="Times New Roman"/>
          <w:color w:val="auto"/>
          <w:lang w:val="en-US" w:eastAsia="zh-CN"/>
        </w:rPr>
        <w:t>书记来陕考察重要讲话重要指示精神，深入</w:t>
      </w:r>
      <w:r>
        <w:rPr>
          <w:rFonts w:hint="default" w:ascii="Times New Roman" w:hAnsi="Times New Roman" w:cs="Times New Roman"/>
          <w:color w:val="auto"/>
          <w:lang w:val="en-US" w:eastAsia="zh-CN"/>
        </w:rPr>
        <w:t>落实习近平</w:t>
      </w:r>
      <w:r>
        <w:rPr>
          <w:rFonts w:hint="default" w:ascii="Times New Roman" w:hAnsi="Times New Roman" w:eastAsia="仿宋_GB2312" w:cs="Times New Roman"/>
          <w:color w:val="auto"/>
          <w:lang w:val="en-US" w:eastAsia="zh-CN"/>
        </w:rPr>
        <w:t>总书记来汉中考察重要指示精神，</w:t>
      </w:r>
      <w:r>
        <w:rPr>
          <w:rFonts w:hint="default" w:ascii="Times New Roman" w:hAnsi="Times New Roman" w:cs="Times New Roman"/>
          <w:color w:val="auto"/>
          <w:sz w:val="32"/>
          <w:szCs w:val="32"/>
          <w:lang w:val="en-US" w:eastAsia="zh-CN"/>
        </w:rPr>
        <w:t>统筹疫情防控和经济社会发展，</w:t>
      </w:r>
      <w:r>
        <w:rPr>
          <w:rFonts w:hint="default" w:ascii="Times New Roman" w:hAnsi="Times New Roman" w:eastAsia="仿宋_GB2312" w:cs="Times New Roman"/>
          <w:color w:val="auto"/>
          <w:sz w:val="32"/>
          <w:szCs w:val="32"/>
          <w:lang w:val="en-US" w:eastAsia="zh-CN"/>
        </w:rPr>
        <w:t>统筹发展和安全，迎难而上、砥砺前行，</w:t>
      </w:r>
      <w:r>
        <w:rPr>
          <w:rFonts w:hint="default" w:ascii="Times New Roman" w:hAnsi="Times New Roman" w:cs="Times New Roman"/>
          <w:color w:val="auto"/>
          <w:sz w:val="32"/>
          <w:szCs w:val="32"/>
          <w:lang w:val="en-US" w:eastAsia="zh-CN"/>
        </w:rPr>
        <w:t>经济社会发展取得新的重大成就</w:t>
      </w:r>
      <w:r>
        <w:rPr>
          <w:rFonts w:hint="default" w:ascii="Times New Roman" w:hAnsi="Times New Roman" w:eastAsia="仿宋_GB2312" w:cs="Times New Roman"/>
          <w:color w:val="auto"/>
          <w:sz w:val="32"/>
          <w:szCs w:val="32"/>
          <w:lang w:val="en-US" w:eastAsia="zh-CN"/>
        </w:rPr>
        <w:t>，各项事业取得新的重大进展</w:t>
      </w:r>
      <w:r>
        <w:rPr>
          <w:rFonts w:hint="default" w:ascii="Times New Roman" w:hAnsi="Times New Roman" w:cs="Times New Roman"/>
          <w:color w:val="auto"/>
          <w:sz w:val="32"/>
          <w:szCs w:val="32"/>
          <w:lang w:val="en-US" w:eastAsia="zh-CN"/>
        </w:rPr>
        <w:t>。</w:t>
      </w:r>
    </w:p>
    <w:p w14:paraId="787FDC6F">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szCs w:val="32"/>
          <w:lang w:val="en-US" w:eastAsia="zh-CN"/>
        </w:rPr>
      </w:pPr>
      <w:bookmarkStart w:id="6" w:name="_Toc19940"/>
      <w:bookmarkStart w:id="7" w:name="_Toc19188"/>
      <w:r>
        <w:rPr>
          <w:rFonts w:hint="eastAsia" w:ascii="楷体_GB2312" w:hAnsi="楷体_GB2312" w:eastAsia="楷体_GB2312" w:cs="楷体_GB2312"/>
          <w:b w:val="0"/>
          <w:bCs w:val="0"/>
          <w:color w:val="auto"/>
          <w:szCs w:val="32"/>
          <w:rtl w:val="0"/>
          <w:lang w:val="en-US" w:eastAsia="zh-CN"/>
        </w:rPr>
        <w:t>经济综合实力稳步</w:t>
      </w:r>
      <w:bookmarkEnd w:id="6"/>
      <w:bookmarkEnd w:id="7"/>
      <w:r>
        <w:rPr>
          <w:rFonts w:hint="eastAsia" w:ascii="楷体_GB2312" w:hAnsi="楷体_GB2312" w:eastAsia="楷体_GB2312" w:cs="楷体_GB2312"/>
          <w:b w:val="0"/>
          <w:bCs w:val="0"/>
          <w:color w:val="auto"/>
          <w:szCs w:val="32"/>
          <w:rtl w:val="0"/>
          <w:lang w:val="en-US" w:eastAsia="zh-CN"/>
        </w:rPr>
        <w:t>增强。</w:t>
      </w:r>
      <w:r>
        <w:rPr>
          <w:rFonts w:hint="default" w:ascii="Times New Roman" w:hAnsi="Times New Roman" w:eastAsia="仿宋_GB2312" w:cs="Times New Roman"/>
          <w:color w:val="auto"/>
          <w:szCs w:val="32"/>
          <w:rtl w:val="0"/>
          <w:lang w:val="en-US" w:eastAsia="zh-CN"/>
        </w:rPr>
        <w:t>2025年，全区实现生产总值449.95亿元，是2020年的1.19倍，年均增长3.8%；实现社会消费品零售总额269.6亿元，是2020年的1.39倍，年均增长7.1%；五年累计完成地方财政收入52.73亿元；</w:t>
      </w:r>
      <w:r>
        <w:rPr>
          <w:rFonts w:hint="default" w:ascii="Times New Roman" w:hAnsi="Times New Roman" w:eastAsia="仿宋_GB2312" w:cs="Times New Roman"/>
          <w:color w:val="auto"/>
          <w:szCs w:val="32"/>
          <w:lang w:val="en-US" w:eastAsia="zh-CN"/>
        </w:rPr>
        <w:t>固定资产投资年均增长3.8%，重点项目累计完成投资697.27亿元。经济规模稳居全市首位。</w:t>
      </w:r>
    </w:p>
    <w:p w14:paraId="19257F2E">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szCs w:val="32"/>
          <w:rtl w:val="0"/>
          <w:lang w:val="en-US" w:eastAsia="zh-CN"/>
        </w:rPr>
      </w:pPr>
      <w:bookmarkStart w:id="8" w:name="_Toc27829"/>
      <w:bookmarkStart w:id="9" w:name="_Toc19634"/>
      <w:r>
        <w:rPr>
          <w:rFonts w:hint="default" w:ascii="楷体_GB2312" w:hAnsi="楷体_GB2312" w:eastAsia="楷体_GB2312" w:cs="楷体_GB2312"/>
          <w:b w:val="0"/>
          <w:bCs w:val="0"/>
          <w:color w:val="auto"/>
          <w:szCs w:val="32"/>
          <w:rtl w:val="0"/>
          <w:lang w:val="en-US" w:eastAsia="zh-CN"/>
        </w:rPr>
        <w:t>产业转型升级成效</w:t>
      </w:r>
      <w:bookmarkEnd w:id="8"/>
      <w:bookmarkEnd w:id="9"/>
      <w:r>
        <w:rPr>
          <w:rFonts w:hint="default" w:ascii="楷体_GB2312" w:hAnsi="楷体_GB2312" w:eastAsia="楷体_GB2312" w:cs="楷体_GB2312"/>
          <w:b w:val="0"/>
          <w:bCs w:val="0"/>
          <w:color w:val="auto"/>
          <w:szCs w:val="32"/>
          <w:rtl w:val="0"/>
          <w:lang w:val="en-US" w:eastAsia="zh-CN"/>
        </w:rPr>
        <w:t>显著。</w:t>
      </w:r>
      <w:r>
        <w:rPr>
          <w:rFonts w:hint="default" w:ascii="Times New Roman" w:hAnsi="Times New Roman" w:eastAsia="仿宋_GB2312" w:cs="Times New Roman"/>
          <w:color w:val="auto"/>
          <w:szCs w:val="32"/>
          <w:rtl w:val="0"/>
          <w:lang w:val="en-US" w:eastAsia="zh-CN"/>
        </w:rPr>
        <w:t>工业发展质效双升。装备制造、绿色食药产业稳步壮大，战略性新兴产业产值占工业总产值比重达到28.5%，较2020年提高3.5个百分点</w:t>
      </w:r>
      <w:r>
        <w:rPr>
          <w:rFonts w:hint="default" w:ascii="Times New Roman" w:hAnsi="Times New Roman" w:eastAsia="仿宋_GB2312" w:cs="Times New Roman"/>
          <w:color w:val="auto"/>
          <w:szCs w:val="32"/>
          <w:lang w:val="en-US" w:eastAsia="zh-CN"/>
        </w:rPr>
        <w:t>。商贸服务</w:t>
      </w:r>
      <w:r>
        <w:rPr>
          <w:rFonts w:hint="default" w:ascii="Times New Roman" w:hAnsi="Times New Roman" w:eastAsia="仿宋_GB2312" w:cs="Times New Roman"/>
          <w:color w:val="auto"/>
          <w:szCs w:val="32"/>
          <w:rtl w:val="0"/>
          <w:lang w:val="en-US" w:eastAsia="zh-CN"/>
        </w:rPr>
        <w:t>活力释放。</w:t>
      </w:r>
      <w:r>
        <w:rPr>
          <w:rFonts w:hint="default" w:ascii="Times New Roman" w:hAnsi="Times New Roman" w:eastAsia="仿宋_GB2312" w:cs="Times New Roman"/>
          <w:color w:val="auto"/>
          <w:szCs w:val="32"/>
          <w:lang w:val="en-US" w:eastAsia="zh-CN"/>
        </w:rPr>
        <w:t>吾悦广场等商业综合体引领消费潮流，</w:t>
      </w:r>
      <w:r>
        <w:rPr>
          <w:rFonts w:hint="default" w:ascii="Times New Roman" w:hAnsi="Times New Roman" w:eastAsia="仿宋_GB2312" w:cs="Times New Roman"/>
          <w:color w:val="auto"/>
          <w:szCs w:val="32"/>
          <w:rtl w:val="0"/>
          <w:lang w:val="en-US" w:eastAsia="zh-CN"/>
        </w:rPr>
        <w:t>建成中青国际等21个</w:t>
      </w:r>
      <w:r>
        <w:rPr>
          <w:rFonts w:hint="eastAsia" w:cs="Times New Roman"/>
          <w:color w:val="auto"/>
          <w:szCs w:val="32"/>
          <w:rtl w:val="0"/>
          <w:lang w:val="en-US" w:eastAsia="zh-CN"/>
        </w:rPr>
        <w:t>“</w:t>
      </w:r>
      <w:r>
        <w:rPr>
          <w:rFonts w:hint="default" w:ascii="Times New Roman" w:hAnsi="Times New Roman" w:eastAsia="仿宋_GB2312" w:cs="Times New Roman"/>
          <w:color w:val="auto"/>
          <w:szCs w:val="32"/>
          <w:rtl w:val="0"/>
          <w:lang w:val="en-US" w:eastAsia="zh-CN"/>
        </w:rPr>
        <w:t>一刻钟便民生活圈</w:t>
      </w:r>
      <w:r>
        <w:rPr>
          <w:rFonts w:hint="eastAsia" w:cs="Times New Roman"/>
          <w:color w:val="auto"/>
          <w:szCs w:val="32"/>
          <w:rtl w:val="0"/>
          <w:lang w:val="en-US" w:eastAsia="zh-CN"/>
        </w:rPr>
        <w:t>”</w:t>
      </w:r>
      <w:r>
        <w:rPr>
          <w:rFonts w:hint="default" w:ascii="Times New Roman" w:hAnsi="Times New Roman" w:eastAsia="仿宋_GB2312" w:cs="Times New Roman"/>
          <w:color w:val="auto"/>
          <w:szCs w:val="32"/>
          <w:rtl w:val="0"/>
          <w:lang w:val="en-US" w:eastAsia="zh-CN"/>
        </w:rPr>
        <w:t>，汉人老家创建为省级示范步行街，饮马池小吃城创建为省级夜间经济示范街区，天汉长街获评首批</w:t>
      </w:r>
      <w:r>
        <w:rPr>
          <w:rFonts w:hint="eastAsia" w:cs="Times New Roman"/>
          <w:color w:val="auto"/>
          <w:szCs w:val="32"/>
          <w:rtl w:val="0"/>
          <w:lang w:val="en-US" w:eastAsia="zh-CN"/>
        </w:rPr>
        <w:t>“</w:t>
      </w:r>
      <w:r>
        <w:rPr>
          <w:rFonts w:hint="default" w:ascii="Times New Roman" w:hAnsi="Times New Roman" w:eastAsia="仿宋_GB2312" w:cs="Times New Roman"/>
          <w:color w:val="auto"/>
          <w:szCs w:val="32"/>
          <w:rtl w:val="0"/>
          <w:lang w:val="en-US" w:eastAsia="zh-CN"/>
        </w:rPr>
        <w:t>陕西省商旅名街</w:t>
      </w:r>
      <w:r>
        <w:rPr>
          <w:rFonts w:hint="eastAsia" w:cs="Times New Roman"/>
          <w:color w:val="auto"/>
          <w:szCs w:val="32"/>
          <w:rtl w:val="0"/>
          <w:lang w:val="en-US" w:eastAsia="zh-CN"/>
        </w:rPr>
        <w:t>”</w:t>
      </w:r>
      <w:r>
        <w:rPr>
          <w:rFonts w:hint="default" w:ascii="Times New Roman" w:hAnsi="Times New Roman" w:eastAsia="仿宋_GB2312" w:cs="Times New Roman"/>
          <w:color w:val="auto"/>
          <w:szCs w:val="32"/>
          <w:lang w:val="en-US" w:eastAsia="zh-CN"/>
        </w:rPr>
        <w:t>，</w:t>
      </w:r>
      <w:r>
        <w:rPr>
          <w:rFonts w:hint="default" w:ascii="Times New Roman" w:hAnsi="Times New Roman" w:eastAsia="仿宋_GB2312" w:cs="Times New Roman"/>
          <w:color w:val="auto"/>
          <w:szCs w:val="32"/>
          <w:rtl w:val="0"/>
          <w:lang w:val="en-US" w:eastAsia="zh-CN"/>
        </w:rPr>
        <w:t>全市首家跨境电商产业园落地汉台，农产品网络零售额突破5亿元。文旅融合势头强劲。千亿级产业集群（汉台）集散地加快构建，西郊记忆文化创意产业园</w:t>
      </w:r>
      <w:r>
        <w:rPr>
          <w:rFonts w:hint="default" w:ascii="Times New Roman" w:hAnsi="Times New Roman" w:eastAsia="仿宋_GB2312" w:cs="Times New Roman"/>
          <w:color w:val="auto"/>
          <w:szCs w:val="32"/>
        </w:rPr>
        <w:t>等</w:t>
      </w:r>
      <w:r>
        <w:rPr>
          <w:rFonts w:hint="default" w:ascii="Times New Roman" w:hAnsi="Times New Roman" w:eastAsia="仿宋_GB2312" w:cs="Times New Roman"/>
          <w:color w:val="auto"/>
          <w:szCs w:val="32"/>
          <w:lang w:val="en-US" w:eastAsia="zh-CN"/>
        </w:rPr>
        <w:t>7</w:t>
      </w:r>
      <w:r>
        <w:rPr>
          <w:rFonts w:hint="default" w:ascii="Times New Roman" w:hAnsi="Times New Roman" w:eastAsia="仿宋_GB2312" w:cs="Times New Roman"/>
          <w:color w:val="auto"/>
          <w:szCs w:val="32"/>
        </w:rPr>
        <w:t>条特色街区建成投用，</w:t>
      </w:r>
      <w:r>
        <w:rPr>
          <w:rFonts w:hint="default" w:ascii="Times New Roman" w:hAnsi="Times New Roman" w:eastAsia="仿宋_GB2312" w:cs="Times New Roman"/>
          <w:color w:val="auto"/>
          <w:szCs w:val="32"/>
          <w:rtl w:val="0"/>
          <w:lang w:val="en-US" w:eastAsia="zh-CN"/>
        </w:rPr>
        <w:t>兴汉胜境汉文化示范区入选首批省级夜间文化和旅游消</w:t>
      </w:r>
      <w:r>
        <w:rPr>
          <w:rFonts w:hint="default" w:ascii="Times New Roman" w:hAnsi="Times New Roman" w:cs="Times New Roman"/>
          <w:color w:val="auto"/>
          <w:sz w:val="32"/>
          <w:szCs w:val="32"/>
          <w:rtl w:val="0"/>
          <w:lang w:val="en-US" w:eastAsia="zh-CN"/>
        </w:rPr>
        <w:t>费集聚区，汉台区</w:t>
      </w:r>
      <w:r>
        <w:rPr>
          <w:rFonts w:hint="default" w:ascii="Times New Roman" w:hAnsi="Times New Roman" w:eastAsia="仿宋_GB2312" w:cs="Times New Roman"/>
          <w:color w:val="auto"/>
          <w:sz w:val="32"/>
          <w:szCs w:val="32"/>
        </w:rPr>
        <w:t>获评</w:t>
      </w:r>
      <w:r>
        <w:rPr>
          <w:rFonts w:hint="eastAsia" w:cs="Times New Roman"/>
          <w:color w:val="auto"/>
          <w:sz w:val="32"/>
          <w:szCs w:val="32"/>
          <w:lang w:eastAsia="zh-CN"/>
        </w:rPr>
        <w:t>“</w:t>
      </w:r>
      <w:r>
        <w:rPr>
          <w:rFonts w:hint="default" w:ascii="Times New Roman" w:hAnsi="Times New Roman" w:eastAsia="仿宋_GB2312" w:cs="Times New Roman"/>
          <w:color w:val="auto"/>
          <w:sz w:val="32"/>
          <w:szCs w:val="32"/>
        </w:rPr>
        <w:t>2024年全国市辖区旅游综合实力百强区</w:t>
      </w:r>
      <w:r>
        <w:rPr>
          <w:rFonts w:hint="eastAsia" w:cs="Times New Roman"/>
          <w:color w:val="auto"/>
          <w:sz w:val="32"/>
          <w:szCs w:val="32"/>
          <w:lang w:eastAsia="zh-CN"/>
        </w:rPr>
        <w:t>”</w:t>
      </w:r>
      <w:r>
        <w:rPr>
          <w:rFonts w:hint="default" w:ascii="Times New Roman" w:hAnsi="Times New Roman" w:cs="Times New Roman"/>
          <w:color w:val="auto"/>
          <w:sz w:val="32"/>
          <w:szCs w:val="32"/>
          <w:rtl w:val="0"/>
          <w:lang w:val="en-US" w:eastAsia="zh-CN"/>
        </w:rPr>
        <w:t>。数</w:t>
      </w:r>
      <w:r>
        <w:rPr>
          <w:rFonts w:hint="default" w:ascii="Times New Roman" w:hAnsi="Times New Roman" w:cs="Times New Roman"/>
          <w:b w:val="0"/>
          <w:bCs w:val="0"/>
          <w:color w:val="auto"/>
          <w:sz w:val="32"/>
          <w:szCs w:val="32"/>
          <w:rtl w:val="0"/>
          <w:lang w:val="en-US" w:eastAsia="zh-CN"/>
        </w:rPr>
        <w:t>字经济蓬勃发展。</w:t>
      </w:r>
      <w:r>
        <w:rPr>
          <w:rFonts w:hint="default" w:ascii="Times New Roman" w:hAnsi="Times New Roman" w:eastAsia="仿宋_GB2312" w:cs="Times New Roman"/>
          <w:color w:val="auto"/>
          <w:lang w:val="en-US" w:eastAsia="zh-CN"/>
        </w:rPr>
        <w:t>数字经济相关企业超过900家，其中</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五上</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数字经济企业21家，</w:t>
      </w:r>
      <w:r>
        <w:rPr>
          <w:rFonts w:hint="default" w:ascii="Times New Roman" w:hAnsi="Times New Roman" w:cs="Times New Roman"/>
          <w:color w:val="auto"/>
          <w:lang w:val="en-US" w:eastAsia="zh-CN"/>
        </w:rPr>
        <w:t>实现产值突破40亿元</w:t>
      </w:r>
      <w:r>
        <w:rPr>
          <w:rFonts w:hint="default" w:ascii="Times New Roman" w:hAnsi="Times New Roman" w:cs="Times New Roman"/>
          <w:color w:val="auto"/>
          <w:sz w:val="32"/>
          <w:szCs w:val="32"/>
          <w:rtl w:val="0"/>
          <w:lang w:val="en-US" w:eastAsia="zh-CN"/>
        </w:rPr>
        <w:t>。都市农业提质增效。粮食生产实现</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二十二连丰</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，粮食总产量保持11万吨以上；认定市级</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五个农业</w:t>
      </w:r>
      <w:r>
        <w:rPr>
          <w:rFonts w:hint="eastAsia" w:cs="Times New Roman"/>
          <w:color w:val="auto"/>
          <w:sz w:val="32"/>
          <w:szCs w:val="32"/>
          <w:rtl w:val="0"/>
          <w:lang w:val="en-US" w:eastAsia="zh-CN"/>
        </w:rPr>
        <w:t>”</w:t>
      </w:r>
      <w:r>
        <w:rPr>
          <w:rFonts w:hint="default" w:ascii="Times New Roman" w:hAnsi="Times New Roman" w:cs="Times New Roman"/>
          <w:b w:val="0"/>
          <w:bCs w:val="0"/>
          <w:color w:val="auto"/>
          <w:sz w:val="32"/>
          <w:szCs w:val="32"/>
          <w:lang w:val="en-US" w:eastAsia="zh-CN"/>
        </w:rPr>
        <w:t>示范基地8家，</w:t>
      </w:r>
      <w:r>
        <w:rPr>
          <w:rFonts w:hint="eastAsia" w:cs="Times New Roman"/>
          <w:b w:val="0"/>
          <w:bCs w:val="0"/>
          <w:color w:val="auto"/>
          <w:sz w:val="32"/>
          <w:szCs w:val="32"/>
          <w:lang w:val="en-US" w:eastAsia="zh-CN"/>
        </w:rPr>
        <w:t>“</w:t>
      </w:r>
      <w:r>
        <w:rPr>
          <w:rFonts w:hint="default" w:ascii="Times New Roman" w:hAnsi="Times New Roman" w:cs="Times New Roman"/>
          <w:b w:val="0"/>
          <w:bCs w:val="0"/>
          <w:color w:val="auto"/>
          <w:sz w:val="32"/>
          <w:szCs w:val="32"/>
          <w:lang w:val="en-US" w:eastAsia="zh-CN"/>
        </w:rPr>
        <w:t>两品一标</w:t>
      </w:r>
      <w:r>
        <w:rPr>
          <w:rFonts w:hint="eastAsia" w:cs="Times New Roman"/>
          <w:b w:val="0"/>
          <w:bCs w:val="0"/>
          <w:color w:val="auto"/>
          <w:sz w:val="32"/>
          <w:szCs w:val="32"/>
          <w:lang w:val="en-US" w:eastAsia="zh-CN"/>
        </w:rPr>
        <w:t>”</w:t>
      </w:r>
      <w:r>
        <w:rPr>
          <w:rFonts w:hint="default" w:ascii="Times New Roman" w:hAnsi="Times New Roman" w:cs="Times New Roman"/>
          <w:b w:val="0"/>
          <w:bCs w:val="0"/>
          <w:color w:val="auto"/>
          <w:sz w:val="32"/>
          <w:szCs w:val="32"/>
          <w:lang w:val="en-US" w:eastAsia="zh-CN"/>
        </w:rPr>
        <w:t>农产品达到13个；荣获</w:t>
      </w:r>
      <w:r>
        <w:rPr>
          <w:rFonts w:hint="eastAsia" w:cs="Times New Roman"/>
          <w:b w:val="0"/>
          <w:bCs w:val="0"/>
          <w:color w:val="auto"/>
          <w:sz w:val="32"/>
          <w:szCs w:val="32"/>
          <w:lang w:val="en-US" w:eastAsia="zh-CN"/>
        </w:rPr>
        <w:t>“</w:t>
      </w:r>
      <w:r>
        <w:rPr>
          <w:rFonts w:hint="default" w:ascii="Times New Roman" w:hAnsi="Times New Roman" w:cs="Times New Roman"/>
          <w:b w:val="0"/>
          <w:bCs w:val="0"/>
          <w:color w:val="auto"/>
          <w:sz w:val="32"/>
          <w:szCs w:val="32"/>
          <w:lang w:val="en-US" w:eastAsia="zh-CN"/>
        </w:rPr>
        <w:t>国家级水产健康养殖和生态养殖示范区</w:t>
      </w:r>
      <w:r>
        <w:rPr>
          <w:rFonts w:hint="eastAsia" w:cs="Times New Roman"/>
          <w:b w:val="0"/>
          <w:bCs w:val="0"/>
          <w:color w:val="auto"/>
          <w:sz w:val="32"/>
          <w:szCs w:val="32"/>
          <w:lang w:val="en-US" w:eastAsia="zh-CN"/>
        </w:rPr>
        <w:t>”“</w:t>
      </w:r>
      <w:r>
        <w:rPr>
          <w:rFonts w:hint="default" w:ascii="Times New Roman" w:hAnsi="Times New Roman" w:cs="Times New Roman"/>
          <w:b w:val="0"/>
          <w:bCs w:val="0"/>
          <w:color w:val="auto"/>
          <w:sz w:val="32"/>
          <w:szCs w:val="32"/>
          <w:lang w:val="en-US" w:eastAsia="zh-CN"/>
        </w:rPr>
        <w:t>省级耕地保护先进区</w:t>
      </w:r>
      <w:r>
        <w:rPr>
          <w:rFonts w:hint="eastAsia" w:cs="Times New Roman"/>
          <w:b w:val="0"/>
          <w:bCs w:val="0"/>
          <w:color w:val="auto"/>
          <w:sz w:val="32"/>
          <w:szCs w:val="32"/>
          <w:lang w:val="en-US" w:eastAsia="zh-CN"/>
        </w:rPr>
        <w:t>”“</w:t>
      </w:r>
      <w:r>
        <w:rPr>
          <w:rFonts w:hint="default" w:ascii="Times New Roman" w:hAnsi="Times New Roman" w:cs="Times New Roman"/>
          <w:b w:val="0"/>
          <w:bCs w:val="0"/>
          <w:color w:val="auto"/>
          <w:sz w:val="32"/>
          <w:szCs w:val="32"/>
          <w:lang w:val="en-US" w:eastAsia="zh-CN"/>
        </w:rPr>
        <w:t>省级农产</w:t>
      </w:r>
      <w:r>
        <w:rPr>
          <w:rFonts w:hint="default" w:ascii="Times New Roman" w:hAnsi="Times New Roman" w:eastAsia="仿宋_GB2312" w:cs="Times New Roman"/>
          <w:color w:val="auto"/>
          <w:szCs w:val="32"/>
          <w:lang w:val="en-US" w:eastAsia="zh-CN"/>
        </w:rPr>
        <w:t>品质量安全示范县</w:t>
      </w:r>
      <w:r>
        <w:rPr>
          <w:rFonts w:hint="eastAsia" w:cs="Times New Roman"/>
          <w:color w:val="auto"/>
          <w:szCs w:val="32"/>
          <w:lang w:val="en-US" w:eastAsia="zh-CN"/>
        </w:rPr>
        <w:t>”</w:t>
      </w:r>
      <w:r>
        <w:rPr>
          <w:rFonts w:hint="default" w:ascii="Times New Roman" w:hAnsi="Times New Roman" w:eastAsia="仿宋_GB2312" w:cs="Times New Roman"/>
          <w:color w:val="auto"/>
          <w:szCs w:val="32"/>
          <w:lang w:val="en-US" w:eastAsia="zh-CN"/>
        </w:rPr>
        <w:t>称号。</w:t>
      </w:r>
    </w:p>
    <w:p w14:paraId="374170BE">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sz w:val="32"/>
          <w:szCs w:val="32"/>
          <w:lang w:val="en-US" w:eastAsia="zh-CN"/>
        </w:rPr>
      </w:pPr>
      <w:bookmarkStart w:id="10" w:name="_Toc1572"/>
      <w:bookmarkStart w:id="11" w:name="_Toc28882"/>
      <w:r>
        <w:rPr>
          <w:rFonts w:hint="default" w:ascii="楷体_GB2312" w:hAnsi="楷体_GB2312" w:eastAsia="楷体_GB2312" w:cs="楷体_GB2312"/>
          <w:b w:val="0"/>
          <w:bCs w:val="0"/>
          <w:color w:val="auto"/>
          <w:szCs w:val="32"/>
          <w:rtl w:val="0"/>
          <w:lang w:val="en-US" w:eastAsia="zh-CN"/>
        </w:rPr>
        <w:t>创新驱动发展</w:t>
      </w:r>
      <w:bookmarkEnd w:id="10"/>
      <w:bookmarkEnd w:id="11"/>
      <w:r>
        <w:rPr>
          <w:rFonts w:hint="default" w:ascii="楷体_GB2312" w:hAnsi="楷体_GB2312" w:eastAsia="楷体_GB2312" w:cs="楷体_GB2312"/>
          <w:b w:val="0"/>
          <w:bCs w:val="0"/>
          <w:color w:val="auto"/>
          <w:szCs w:val="32"/>
          <w:rtl w:val="0"/>
          <w:lang w:val="en-US" w:eastAsia="zh-CN"/>
        </w:rPr>
        <w:t>成果丰硕。</w:t>
      </w:r>
      <w:r>
        <w:rPr>
          <w:rFonts w:hint="default" w:ascii="Times New Roman" w:hAnsi="Times New Roman" w:eastAsia="仿宋_GB2312" w:cs="Times New Roman"/>
          <w:color w:val="auto"/>
          <w:szCs w:val="32"/>
          <w:lang w:val="en-US" w:eastAsia="zh-CN"/>
        </w:rPr>
        <w:t>秦创原（汉中）创新促进中心汉台分中心建成投用，建成国家级众创空间2个，认定</w:t>
      </w:r>
      <w:r>
        <w:rPr>
          <w:rFonts w:hint="default" w:ascii="Times New Roman" w:hAnsi="Times New Roman" w:eastAsia="仿宋_GB2312" w:cs="Times New Roman"/>
          <w:color w:val="auto"/>
          <w:sz w:val="32"/>
          <w:szCs w:val="32"/>
          <w:lang w:val="en-US" w:eastAsia="zh-CN"/>
        </w:rPr>
        <w:t>院士专家工作站7个，省级创新平台达到37个。高新技术企业从</w:t>
      </w:r>
      <w:r>
        <w:rPr>
          <w:rFonts w:hint="default" w:ascii="Times New Roman" w:hAnsi="Times New Roman" w:cs="Times New Roman"/>
          <w:color w:val="auto"/>
          <w:sz w:val="32"/>
          <w:szCs w:val="32"/>
          <w:lang w:val="en-US" w:eastAsia="zh-CN"/>
        </w:rPr>
        <w:t>2020年</w:t>
      </w:r>
      <w:r>
        <w:rPr>
          <w:rFonts w:hint="default" w:ascii="Times New Roman" w:hAnsi="Times New Roman" w:eastAsia="仿宋_GB2312" w:cs="Times New Roman"/>
          <w:color w:val="auto"/>
          <w:sz w:val="32"/>
          <w:szCs w:val="32"/>
          <w:lang w:val="en-US" w:eastAsia="zh-CN"/>
        </w:rPr>
        <w:t>的37家增长到</w:t>
      </w:r>
      <w:r>
        <w:rPr>
          <w:rFonts w:hint="default" w:ascii="Times New Roman" w:hAnsi="Times New Roman" w:cs="Times New Roman"/>
          <w:color w:val="auto"/>
          <w:sz w:val="32"/>
          <w:szCs w:val="32"/>
          <w:lang w:val="en-US" w:eastAsia="zh-CN"/>
        </w:rPr>
        <w:t>2025年的</w:t>
      </w:r>
      <w:r>
        <w:rPr>
          <w:rFonts w:hint="default" w:ascii="Times New Roman" w:hAnsi="Times New Roman" w:eastAsia="仿宋_GB2312" w:cs="Times New Roman"/>
          <w:color w:val="auto"/>
          <w:sz w:val="32"/>
          <w:szCs w:val="32"/>
          <w:lang w:val="en-US" w:eastAsia="zh-CN"/>
        </w:rPr>
        <w:t>1</w:t>
      </w:r>
      <w:r>
        <w:rPr>
          <w:rFonts w:hint="default" w:ascii="Times New Roman" w:hAnsi="Times New Roman" w:cs="Times New Roman"/>
          <w:color w:val="auto"/>
          <w:sz w:val="32"/>
          <w:szCs w:val="32"/>
          <w:lang w:val="en-US" w:eastAsia="zh-CN"/>
        </w:rPr>
        <w:t>09</w:t>
      </w:r>
      <w:r>
        <w:rPr>
          <w:rFonts w:hint="default" w:ascii="Times New Roman" w:hAnsi="Times New Roman" w:eastAsia="仿宋_GB2312" w:cs="Times New Roman"/>
          <w:color w:val="auto"/>
          <w:sz w:val="32"/>
          <w:szCs w:val="32"/>
          <w:lang w:val="en-US" w:eastAsia="zh-CN"/>
        </w:rPr>
        <w:t>家，科技型中小企业从46户增长到1</w:t>
      </w:r>
      <w:r>
        <w:rPr>
          <w:rFonts w:hint="default" w:ascii="Times New Roman" w:hAnsi="Times New Roman" w:cs="Times New Roman"/>
          <w:color w:val="auto"/>
          <w:sz w:val="32"/>
          <w:szCs w:val="32"/>
          <w:lang w:val="en-US" w:eastAsia="zh-CN"/>
        </w:rPr>
        <w:t>57</w:t>
      </w:r>
      <w:r>
        <w:rPr>
          <w:rFonts w:hint="default" w:ascii="Times New Roman" w:hAnsi="Times New Roman" w:eastAsia="仿宋_GB2312" w:cs="Times New Roman"/>
          <w:color w:val="auto"/>
          <w:sz w:val="32"/>
          <w:szCs w:val="32"/>
          <w:lang w:val="en-US" w:eastAsia="zh-CN"/>
        </w:rPr>
        <w:t>户，认定省级瞪羚企业（潜在瞪羚企业）8户，培育省级专精特新企业4户，中航电测入选陕南首家国家制造业单项冠军企业。实施省级关键核心技术攻关和科技计划70</w:t>
      </w:r>
      <w:r>
        <w:rPr>
          <w:rFonts w:hint="default" w:ascii="Times New Roman" w:hAnsi="Times New Roman" w:cs="Times New Roman"/>
          <w:color w:val="auto"/>
          <w:sz w:val="32"/>
          <w:szCs w:val="32"/>
          <w:lang w:val="en-US" w:eastAsia="zh-CN"/>
        </w:rPr>
        <w:t>余项</w:t>
      </w:r>
      <w:r>
        <w:rPr>
          <w:rFonts w:hint="default" w:ascii="Times New Roman" w:hAnsi="Times New Roman" w:eastAsia="仿宋_GB2312" w:cs="Times New Roman"/>
          <w:color w:val="auto"/>
          <w:sz w:val="32"/>
          <w:szCs w:val="32"/>
          <w:lang w:val="en-US" w:eastAsia="zh-CN"/>
        </w:rPr>
        <w:t>，获得省级科技进步奖</w:t>
      </w:r>
      <w:r>
        <w:rPr>
          <w:rFonts w:hint="default" w:ascii="Times New Roman" w:hAnsi="Times New Roman"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0项，累计技术合同成交额20.08亿元</w:t>
      </w:r>
      <w:r>
        <w:rPr>
          <w:rFonts w:hint="default" w:ascii="Times New Roman" w:hAnsi="Times New Roman"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荣获</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国家级科普示范区</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称号。</w:t>
      </w:r>
      <w:bookmarkStart w:id="12" w:name="_Toc8454"/>
      <w:bookmarkStart w:id="13" w:name="_Toc4145"/>
    </w:p>
    <w:p w14:paraId="7DF97F64">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 w:val="32"/>
          <w:szCs w:val="32"/>
          <w:lang w:val="en-US" w:eastAsia="zh-CN"/>
        </w:rPr>
      </w:pPr>
      <w:r>
        <w:rPr>
          <w:rFonts w:hint="default" w:ascii="楷体_GB2312" w:hAnsi="楷体_GB2312" w:eastAsia="楷体_GB2312" w:cs="楷体_GB2312"/>
          <w:b w:val="0"/>
          <w:bCs w:val="0"/>
          <w:color w:val="auto"/>
          <w:szCs w:val="32"/>
          <w:rtl w:val="0"/>
          <w:lang w:val="en-US" w:eastAsia="zh-CN"/>
        </w:rPr>
        <w:t>城乡建设</w:t>
      </w:r>
      <w:bookmarkEnd w:id="12"/>
      <w:bookmarkEnd w:id="13"/>
      <w:r>
        <w:rPr>
          <w:rFonts w:hint="default" w:ascii="楷体_GB2312" w:hAnsi="楷体_GB2312" w:eastAsia="楷体_GB2312" w:cs="楷体_GB2312"/>
          <w:b w:val="0"/>
          <w:bCs w:val="0"/>
          <w:color w:val="auto"/>
          <w:szCs w:val="32"/>
          <w:rtl w:val="0"/>
          <w:lang w:val="en-US" w:eastAsia="zh-CN"/>
        </w:rPr>
        <w:t>品质显著提升。</w:t>
      </w:r>
      <w:r>
        <w:rPr>
          <w:rFonts w:hint="default" w:ascii="Times New Roman" w:hAnsi="Times New Roman" w:cs="Times New Roman"/>
          <w:color w:val="auto"/>
          <w:sz w:val="32"/>
          <w:szCs w:val="32"/>
          <w:lang w:val="en-US" w:eastAsia="zh-CN"/>
        </w:rPr>
        <w:t>城市更新步伐加快。累计实施棚户区改造项目27个，老旧小区改造648个，获评全省旧改试点区，改造升级城市道路8条，完成排洪渠改造18.56公里。城市管理精细高效。打造了中山街、东大街等18条管理示范街，建成新能源充电桩1700余个、爱心驿站85个，城市精细化管理</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小切口</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做法被新华社报道。城镇建设成效明显。武乡镇、河东店镇被评为省级乡村振兴示范镇，铺镇被评为市级乡村振兴示范镇，老君镇、宗营镇、徐望镇、汉王镇镇域经济动能不断增强，常住人口城镇化率达到76.59%。乡村振兴全面推进。巩固拓展脱贫攻坚成效显著，汉台区被国家确定为陕西省唯一</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巩固拓展医疗保障脱贫攻坚成果联系点</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金山银山花果山》入选陕西省首批58个乡村振兴典型案例。实施东石路、汉铺路等民生交通项目515个，全区公路总里程达1328公里，路网密度位居全省前列，所有镇（街道）通三级以上公路，村（社区）通四级以上公路，自然村实现硬化路、客车、邮路</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三个百分百</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。巩固提升16.2万人饮水安全保障，基本实现农村供水县域统管。</w:t>
      </w:r>
    </w:p>
    <w:p w14:paraId="3C8BA5D1">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 w:val="32"/>
          <w:szCs w:val="32"/>
          <w:lang w:val="en-US" w:eastAsia="zh-CN"/>
        </w:rPr>
      </w:pPr>
      <w:r>
        <w:rPr>
          <w:rFonts w:hint="default" w:ascii="楷体_GB2312" w:hAnsi="楷体_GB2312" w:eastAsia="楷体_GB2312" w:cs="楷体_GB2312"/>
          <w:b w:val="0"/>
          <w:bCs w:val="0"/>
          <w:color w:val="auto"/>
          <w:szCs w:val="32"/>
          <w:rtl w:val="0"/>
          <w:lang w:val="en-US" w:eastAsia="zh-CN"/>
        </w:rPr>
        <w:t>生态文明建设成效凸显。</w:t>
      </w:r>
      <w:r>
        <w:rPr>
          <w:rFonts w:hint="default" w:ascii="Times New Roman" w:hAnsi="Times New Roman" w:cs="Times New Roman"/>
          <w:color w:val="auto"/>
          <w:sz w:val="32"/>
          <w:szCs w:val="32"/>
          <w:lang w:val="en-US" w:eastAsia="zh-CN"/>
        </w:rPr>
        <w:t>获得省级生态文明建设示范区命名。</w:t>
      </w:r>
      <w:r>
        <w:rPr>
          <w:rFonts w:hint="default" w:ascii="Times New Roman" w:hAnsi="Times New Roman" w:cs="Times New Roman"/>
          <w:color w:val="auto"/>
          <w:sz w:val="32"/>
          <w:szCs w:val="32"/>
          <w:rtl w:val="0"/>
          <w:lang w:val="en-US" w:eastAsia="zh-CN"/>
        </w:rPr>
        <w:t>创建省级卫生镇4个、市级卫生镇</w:t>
      </w:r>
      <w:r>
        <w:rPr>
          <w:rFonts w:hint="default" w:ascii="Times New Roman" w:hAnsi="Times New Roman" w:cs="Times New Roman"/>
          <w:color w:val="auto"/>
          <w:sz w:val="32"/>
          <w:szCs w:val="32"/>
          <w:lang w:val="en-US" w:eastAsia="zh-CN"/>
        </w:rPr>
        <w:t>1个、省级卫生村27个、市级卫生村65个，第三轮国家卫生城市复审顺利通过。秦岭生态保护持续加强。累计完成森林抚育3.2万亩、封山育林1.5万亩，义务植树325万株，武乡林场入选全市唯一的全国森林可持续经营试点，森林覆盖率保持28.2%。空气质量持续向好。2025年空气质量优良天数达到316天。河湖水质持续优化。褒河张码头、汉江桥闸、汉江汉台出境断面保持Ⅱ类水质，饮用水水源地水质达标率100%。</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千万工程</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扎实推进。荣获国家级村庄清洁行动先进区称号，12个省级、24个市级</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千万工程</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示范村创建达标，111个整治村农村人居环境质量显著提升，河东店村、吴庄村等8个村荣获</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陕西省美丽宜居示范村</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称号。</w:t>
      </w:r>
    </w:p>
    <w:p w14:paraId="5CD69D87">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 w:val="32"/>
          <w:szCs w:val="32"/>
          <w:lang w:val="en-US" w:eastAsia="zh-CN"/>
        </w:rPr>
      </w:pPr>
      <w:bookmarkStart w:id="14" w:name="_Toc18798"/>
      <w:bookmarkStart w:id="15" w:name="_Toc2319"/>
      <w:r>
        <w:rPr>
          <w:rFonts w:hint="default" w:ascii="楷体_GB2312" w:hAnsi="楷体_GB2312" w:eastAsia="楷体_GB2312" w:cs="楷体_GB2312"/>
          <w:b w:val="0"/>
          <w:bCs w:val="0"/>
          <w:color w:val="auto"/>
          <w:szCs w:val="32"/>
          <w:rtl w:val="0"/>
          <w:lang w:val="en-US" w:eastAsia="zh-CN"/>
        </w:rPr>
        <w:t>改革开放合作成绩斐然</w:t>
      </w:r>
      <w:bookmarkEnd w:id="14"/>
      <w:bookmarkEnd w:id="15"/>
      <w:r>
        <w:rPr>
          <w:rFonts w:hint="default" w:ascii="楷体_GB2312" w:hAnsi="楷体_GB2312" w:eastAsia="楷体_GB2312" w:cs="楷体_GB2312"/>
          <w:b w:val="0"/>
          <w:bCs w:val="0"/>
          <w:color w:val="auto"/>
          <w:szCs w:val="32"/>
          <w:rtl w:val="0"/>
          <w:lang w:val="en-US" w:eastAsia="zh-CN"/>
        </w:rPr>
        <w:t>。</w:t>
      </w:r>
      <w:r>
        <w:rPr>
          <w:rFonts w:hint="default" w:ascii="Times New Roman" w:hAnsi="Times New Roman" w:cs="Times New Roman"/>
          <w:color w:val="auto"/>
          <w:sz w:val="32"/>
          <w:szCs w:val="32"/>
          <w:lang w:val="en-US" w:eastAsia="zh-CN"/>
        </w:rPr>
        <w:t>深化改革成效显著。</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医保+网格化</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预警监测等3项改革案例入选全国典型，农村集体经营性建设用地入市入选全国试点，</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税务+司法</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联动协作改革和教育评价改革入选全省案例，</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田长制</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被确定为全省唯一示范创建点，熟土剥离再利用改革入选陕西首批生态价值实现典型案例，完成全市首单水权交易。181个村集体经济收益全都达到15万元以上。国企改革三年行动高质量收官。区产投集团获评陕南地区唯一AA信用评级区县国企。营商环境持续优化。纵深推进</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高效办成一件事</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改革，开办企业实现</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一日办结</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零成本，新培育市场主体4.9万户，各类市场主体达到8.8万户，获评省级营商环境创新示范区。招商引资成果丰硕。累计签约项目400余个，实现内资到位资金615.34亿元，实际利用外资4017万美元。</w:t>
      </w:r>
    </w:p>
    <w:p w14:paraId="5FB111B6">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 w:val="32"/>
          <w:szCs w:val="32"/>
          <w:lang w:eastAsia="zh-CN"/>
        </w:rPr>
      </w:pPr>
      <w:bookmarkStart w:id="16" w:name="_Toc22092"/>
      <w:bookmarkStart w:id="17" w:name="_Toc855"/>
      <w:r>
        <w:rPr>
          <w:rFonts w:hint="default" w:ascii="楷体_GB2312" w:hAnsi="楷体_GB2312" w:eastAsia="楷体_GB2312" w:cs="楷体_GB2312"/>
          <w:b w:val="0"/>
          <w:bCs w:val="0"/>
          <w:color w:val="auto"/>
          <w:szCs w:val="32"/>
          <w:rtl w:val="0"/>
          <w:lang w:val="en-US" w:eastAsia="zh-CN"/>
        </w:rPr>
        <w:t>民生保障扎实有力推进</w:t>
      </w:r>
      <w:bookmarkEnd w:id="16"/>
      <w:bookmarkEnd w:id="17"/>
      <w:r>
        <w:rPr>
          <w:rFonts w:hint="default" w:ascii="楷体_GB2312" w:hAnsi="楷体_GB2312" w:eastAsia="楷体_GB2312" w:cs="楷体_GB2312"/>
          <w:b w:val="0"/>
          <w:bCs w:val="0"/>
          <w:color w:val="auto"/>
          <w:szCs w:val="32"/>
          <w:rtl w:val="0"/>
          <w:lang w:val="en-US" w:eastAsia="zh-CN"/>
        </w:rPr>
        <w:t>。</w:t>
      </w:r>
      <w:r>
        <w:rPr>
          <w:rFonts w:hint="default" w:ascii="Times New Roman" w:hAnsi="Times New Roman" w:cs="Times New Roman"/>
          <w:color w:val="auto"/>
          <w:sz w:val="32"/>
          <w:szCs w:val="32"/>
          <w:lang w:val="en-US" w:eastAsia="zh-CN"/>
        </w:rPr>
        <w:t>就业形势保持稳定。年均开展</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送岗位进社区</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等招聘活动150余场次，城镇累计新增就业4.69万人，城镇调查失业率保持在4.3%以内。城乡居民收入稳步提高。城镇居民人均可支配收入达到46318元、年均增长5.7%，农村居民人均可支配收入达到17977元、年均增长7.8%，城乡居民收入比由2020年的2.85缩小到2025年的2.58。教育资源配置更加均衡。公办幼儿园供给持续增加，</w:t>
      </w:r>
      <w:r>
        <w:rPr>
          <w:rFonts w:hint="default" w:ascii="Times New Roman" w:hAnsi="Times New Roman" w:eastAsia="仿宋_GB2312" w:cs="Times New Roman"/>
          <w:color w:val="auto"/>
          <w:sz w:val="32"/>
          <w:szCs w:val="32"/>
          <w:lang w:val="en-US" w:eastAsia="zh-CN"/>
        </w:rPr>
        <w:t>新增</w:t>
      </w:r>
      <w:r>
        <w:rPr>
          <w:rFonts w:hint="default" w:ascii="Times New Roman" w:hAnsi="Times New Roman" w:cs="Times New Roman"/>
          <w:color w:val="auto"/>
          <w:sz w:val="32"/>
          <w:szCs w:val="32"/>
          <w:lang w:val="en-US" w:eastAsia="zh-CN"/>
        </w:rPr>
        <w:t>中小学</w:t>
      </w:r>
      <w:r>
        <w:rPr>
          <w:rFonts w:hint="default" w:ascii="Times New Roman" w:hAnsi="Times New Roman" w:eastAsia="仿宋_GB2312" w:cs="Times New Roman"/>
          <w:color w:val="auto"/>
          <w:sz w:val="32"/>
          <w:szCs w:val="32"/>
          <w:lang w:val="en-US" w:eastAsia="zh-CN"/>
        </w:rPr>
        <w:t>学位1.6万余个，国家义务教育优质均衡发展区创建通过省级评估验收</w:t>
      </w:r>
      <w:r>
        <w:rPr>
          <w:rFonts w:hint="default" w:ascii="Times New Roman" w:hAnsi="Times New Roman"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高考成绩实现</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十七连增</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，职业教育毕业生就业率保持在95%以上。</w:t>
      </w:r>
      <w:r>
        <w:rPr>
          <w:rFonts w:hint="eastAsia" w:cs="Times New Roman"/>
          <w:color w:val="auto"/>
          <w:sz w:val="32"/>
          <w:szCs w:val="32"/>
          <w:lang w:val="en-US" w:eastAsia="zh-CN"/>
        </w:rPr>
        <w:t>“</w:t>
      </w:r>
      <w:r>
        <w:rPr>
          <w:rFonts w:hint="default" w:ascii="Times New Roman" w:hAnsi="Times New Roman" w:eastAsia="仿宋_GB2312" w:cs="Times New Roman"/>
          <w:b w:val="0"/>
          <w:bCs w:val="0"/>
          <w:color w:val="auto"/>
          <w:sz w:val="32"/>
          <w:szCs w:val="32"/>
        </w:rPr>
        <w:t>健康汉台</w:t>
      </w:r>
      <w:r>
        <w:rPr>
          <w:rFonts w:hint="eastAsia" w:cs="Times New Roman"/>
          <w:color w:val="auto"/>
          <w:sz w:val="32"/>
          <w:szCs w:val="32"/>
          <w:lang w:val="en-US" w:eastAsia="zh-CN"/>
        </w:rPr>
        <w:t>”</w:t>
      </w:r>
      <w:r>
        <w:rPr>
          <w:rFonts w:hint="default" w:ascii="Times New Roman" w:hAnsi="Times New Roman" w:eastAsia="仿宋_GB2312" w:cs="Times New Roman"/>
          <w:b w:val="0"/>
          <w:bCs w:val="0"/>
          <w:color w:val="auto"/>
          <w:sz w:val="32"/>
          <w:szCs w:val="32"/>
        </w:rPr>
        <w:t>加快</w:t>
      </w:r>
      <w:r>
        <w:rPr>
          <w:rFonts w:hint="default" w:ascii="Times New Roman" w:hAnsi="Times New Roman" w:cs="Times New Roman"/>
          <w:b w:val="0"/>
          <w:bCs w:val="0"/>
          <w:color w:val="auto"/>
          <w:sz w:val="32"/>
          <w:szCs w:val="32"/>
          <w:lang w:val="en-US" w:eastAsia="zh-CN"/>
        </w:rPr>
        <w:t>推进</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color w:val="auto"/>
          <w:sz w:val="32"/>
          <w:szCs w:val="32"/>
        </w:rPr>
        <w:t>区中医医院建设有序推进，七里街道、武乡镇、老君镇中心卫生院达到</w:t>
      </w:r>
      <w:r>
        <w:rPr>
          <w:rFonts w:hint="eastAsia" w:cs="Times New Roman"/>
          <w:color w:val="auto"/>
          <w:sz w:val="32"/>
          <w:szCs w:val="32"/>
          <w:lang w:eastAsia="zh-CN"/>
        </w:rPr>
        <w:t>“</w:t>
      </w:r>
      <w:r>
        <w:rPr>
          <w:rFonts w:hint="default" w:ascii="Times New Roman" w:hAnsi="Times New Roman" w:eastAsia="仿宋_GB2312" w:cs="Times New Roman"/>
          <w:color w:val="auto"/>
          <w:sz w:val="32"/>
          <w:szCs w:val="32"/>
        </w:rPr>
        <w:t>国家推荐标准</w:t>
      </w:r>
      <w:r>
        <w:rPr>
          <w:rFonts w:hint="eastAsia" w:cs="Times New Roman"/>
          <w:color w:val="auto"/>
          <w:sz w:val="32"/>
          <w:szCs w:val="32"/>
          <w:lang w:eastAsia="zh-CN"/>
        </w:rPr>
        <w:t>”</w:t>
      </w:r>
      <w:r>
        <w:rPr>
          <w:rFonts w:hint="default" w:ascii="Times New Roman" w:hAnsi="Times New Roman" w:eastAsia="仿宋_GB2312" w:cs="Times New Roman"/>
          <w:color w:val="auto"/>
          <w:sz w:val="32"/>
          <w:szCs w:val="32"/>
        </w:rPr>
        <w:t>，</w:t>
      </w:r>
      <w:r>
        <w:rPr>
          <w:rFonts w:hint="default" w:ascii="Times New Roman" w:hAnsi="Times New Roman" w:cs="Times New Roman"/>
          <w:color w:val="auto"/>
          <w:sz w:val="32"/>
          <w:szCs w:val="32"/>
          <w:lang w:val="en-US" w:eastAsia="zh-CN"/>
        </w:rPr>
        <w:t>成功创建</w:t>
      </w:r>
      <w:r>
        <w:rPr>
          <w:rFonts w:hint="default" w:ascii="Times New Roman" w:hAnsi="Times New Roman" w:eastAsia="仿宋_GB2312" w:cs="Times New Roman"/>
          <w:color w:val="auto"/>
          <w:sz w:val="32"/>
          <w:szCs w:val="32"/>
          <w:lang w:val="en-US" w:eastAsia="zh-CN"/>
        </w:rPr>
        <w:t>全省首批婴幼儿照护服务示范区。</w:t>
      </w:r>
      <w:r>
        <w:rPr>
          <w:rFonts w:hint="default" w:ascii="Times New Roman" w:hAnsi="Times New Roman" w:eastAsia="仿宋_GB2312" w:cs="Times New Roman"/>
          <w:b w:val="0"/>
          <w:bCs w:val="0"/>
          <w:color w:val="auto"/>
          <w:sz w:val="32"/>
          <w:szCs w:val="32"/>
          <w:lang w:val="en-US" w:eastAsia="zh-CN"/>
        </w:rPr>
        <w:t>文化事业繁荣发展。</w:t>
      </w:r>
      <w:r>
        <w:rPr>
          <w:rFonts w:hint="default"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rPr>
        <w:t>博物馆评定为国家一级博物馆</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val="0"/>
          <w:bCs w:val="0"/>
          <w:color w:val="auto"/>
          <w:sz w:val="32"/>
          <w:szCs w:val="32"/>
          <w:lang w:eastAsia="zh-CN"/>
        </w:rPr>
        <w:t>区文化馆</w:t>
      </w:r>
      <w:r>
        <w:rPr>
          <w:rFonts w:hint="default" w:ascii="Times New Roman" w:hAnsi="Times New Roman" w:eastAsia="仿宋_GB2312" w:cs="Times New Roman"/>
          <w:b w:val="0"/>
          <w:bCs w:val="0"/>
          <w:color w:val="auto"/>
          <w:sz w:val="32"/>
          <w:szCs w:val="32"/>
          <w:lang w:val="en-US" w:eastAsia="zh-CN"/>
        </w:rPr>
        <w:t>晋升为国家二级馆</w:t>
      </w:r>
      <w:r>
        <w:rPr>
          <w:rFonts w:hint="default" w:ascii="Times New Roman" w:hAnsi="Times New Roman" w:cs="Times New Roman"/>
          <w:b w:val="0"/>
          <w:bCs w:val="0"/>
          <w:color w:val="auto"/>
          <w:sz w:val="32"/>
          <w:szCs w:val="32"/>
          <w:lang w:val="en-US" w:eastAsia="zh-CN"/>
        </w:rPr>
        <w:t>，</w:t>
      </w:r>
      <w:r>
        <w:rPr>
          <w:rFonts w:hint="default" w:ascii="Times New Roman" w:hAnsi="Times New Roman" w:eastAsia="仿宋_GB2312" w:cs="Times New Roman"/>
          <w:color w:val="auto"/>
          <w:kern w:val="0"/>
          <w:sz w:val="31"/>
          <w:szCs w:val="31"/>
          <w:lang w:val="en-US" w:eastAsia="zh-CN" w:bidi="ar"/>
        </w:rPr>
        <w:t>成功创建全省公共文化服务高质量发展示范区</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体育事业蓬勃发展。</w:t>
      </w:r>
      <w:r>
        <w:rPr>
          <w:rFonts w:hint="default" w:ascii="Times New Roman" w:hAnsi="Times New Roman" w:eastAsia="仿宋_GB2312" w:cs="Times New Roman"/>
          <w:b w:val="0"/>
          <w:bCs w:val="0"/>
          <w:color w:val="auto"/>
          <w:sz w:val="32"/>
          <w:szCs w:val="32"/>
          <w:u w:val="none"/>
          <w:lang w:val="en-US" w:eastAsia="zh-CN"/>
        </w:rPr>
        <w:t>举办油菜花海马拉松等</w:t>
      </w:r>
      <w:r>
        <w:rPr>
          <w:rFonts w:hint="default" w:ascii="Times New Roman" w:hAnsi="Times New Roman" w:cs="Times New Roman"/>
          <w:b w:val="0"/>
          <w:bCs w:val="0"/>
          <w:color w:val="auto"/>
          <w:sz w:val="32"/>
          <w:szCs w:val="32"/>
          <w:u w:val="none"/>
          <w:lang w:val="en-US" w:eastAsia="zh-CN"/>
        </w:rPr>
        <w:t>精品赛事</w:t>
      </w:r>
      <w:r>
        <w:rPr>
          <w:rFonts w:hint="default" w:ascii="Times New Roman" w:hAnsi="Times New Roman" w:eastAsia="仿宋_GB2312" w:cs="Times New Roman"/>
          <w:b w:val="0"/>
          <w:bCs w:val="0"/>
          <w:color w:val="auto"/>
          <w:sz w:val="32"/>
          <w:szCs w:val="32"/>
          <w:u w:val="none"/>
          <w:lang w:val="en-US" w:eastAsia="zh-CN"/>
        </w:rPr>
        <w:t>15</w:t>
      </w:r>
      <w:r>
        <w:rPr>
          <w:rFonts w:hint="default" w:ascii="Times New Roman" w:hAnsi="Times New Roman" w:cs="Times New Roman"/>
          <w:b w:val="0"/>
          <w:bCs w:val="0"/>
          <w:color w:val="auto"/>
          <w:sz w:val="32"/>
          <w:szCs w:val="32"/>
          <w:u w:val="none"/>
          <w:lang w:val="en-US" w:eastAsia="zh-CN"/>
        </w:rPr>
        <w:t>0余</w:t>
      </w:r>
      <w:r>
        <w:rPr>
          <w:rFonts w:hint="default" w:ascii="Times New Roman" w:hAnsi="Times New Roman" w:eastAsia="仿宋_GB2312" w:cs="Times New Roman"/>
          <w:b w:val="0"/>
          <w:bCs w:val="0"/>
          <w:color w:val="auto"/>
          <w:sz w:val="32"/>
          <w:szCs w:val="32"/>
          <w:u w:val="none"/>
          <w:lang w:val="en-US" w:eastAsia="zh-CN"/>
        </w:rPr>
        <w:t>项</w:t>
      </w:r>
      <w:r>
        <w:rPr>
          <w:rFonts w:hint="default" w:ascii="Times New Roman" w:hAnsi="Times New Roman" w:cs="Times New Roman"/>
          <w:b w:val="0"/>
          <w:bCs w:val="0"/>
          <w:color w:val="auto"/>
          <w:sz w:val="32"/>
          <w:szCs w:val="32"/>
          <w:u w:val="none"/>
          <w:lang w:val="en-US" w:eastAsia="zh-CN"/>
        </w:rPr>
        <w:t>，80余个健身场地建成使用，社区15分钟健身圈实现全覆盖。</w:t>
      </w:r>
      <w:r>
        <w:rPr>
          <w:rFonts w:hint="default" w:ascii="Times New Roman" w:hAnsi="Times New Roman" w:cs="Times New Roman"/>
          <w:b w:val="0"/>
          <w:bCs w:val="0"/>
          <w:color w:val="auto"/>
          <w:sz w:val="32"/>
          <w:szCs w:val="32"/>
          <w:lang w:val="en-US" w:eastAsia="zh-CN"/>
        </w:rPr>
        <w:t>社会</w:t>
      </w:r>
      <w:r>
        <w:rPr>
          <w:rFonts w:hint="default" w:ascii="Times New Roman" w:hAnsi="Times New Roman" w:eastAsia="仿宋_GB2312" w:cs="Times New Roman"/>
          <w:b w:val="0"/>
          <w:bCs w:val="0"/>
          <w:color w:val="auto"/>
          <w:sz w:val="32"/>
          <w:szCs w:val="32"/>
          <w:lang w:val="en-US" w:eastAsia="zh-CN"/>
        </w:rPr>
        <w:t>保障更加有力。</w:t>
      </w:r>
      <w:r>
        <w:rPr>
          <w:rFonts w:hint="default" w:ascii="Times New Roman" w:hAnsi="Times New Roman" w:cs="Times New Roman"/>
          <w:color w:val="auto"/>
          <w:sz w:val="32"/>
          <w:szCs w:val="32"/>
          <w:lang w:val="en-US" w:eastAsia="zh-CN"/>
        </w:rPr>
        <w:t>城乡居民养老保险参保率、</w:t>
      </w:r>
      <w:r>
        <w:rPr>
          <w:rFonts w:hint="default" w:ascii="Times New Roman" w:hAnsi="Times New Roman" w:eastAsia="仿宋_GB2312" w:cs="Times New Roman"/>
          <w:color w:val="auto"/>
          <w:sz w:val="32"/>
          <w:szCs w:val="32"/>
        </w:rPr>
        <w:t>基本医疗保险参保率</w:t>
      </w:r>
      <w:r>
        <w:rPr>
          <w:rFonts w:hint="default" w:ascii="Times New Roman" w:hAnsi="Times New Roman" w:cs="Times New Roman"/>
          <w:color w:val="auto"/>
          <w:sz w:val="32"/>
          <w:szCs w:val="32"/>
          <w:lang w:val="en-US" w:eastAsia="zh-CN"/>
        </w:rPr>
        <w:t>分别稳定在99%、</w:t>
      </w:r>
      <w:r>
        <w:rPr>
          <w:rFonts w:hint="default" w:ascii="Times New Roman" w:hAnsi="Times New Roman" w:eastAsia="仿宋_GB2312" w:cs="Times New Roman"/>
          <w:color w:val="auto"/>
          <w:sz w:val="32"/>
          <w:szCs w:val="32"/>
        </w:rPr>
        <w:t>9</w:t>
      </w:r>
      <w:r>
        <w:rPr>
          <w:rFonts w:hint="default" w:ascii="Times New Roman" w:hAnsi="Times New Roman" w:cs="Times New Roman"/>
          <w:color w:val="auto"/>
          <w:sz w:val="32"/>
          <w:szCs w:val="32"/>
          <w:lang w:val="en-US" w:eastAsia="zh-CN"/>
        </w:rPr>
        <w:t>8</w:t>
      </w:r>
      <w:r>
        <w:rPr>
          <w:rFonts w:hint="default" w:ascii="Times New Roman" w:hAnsi="Times New Roman" w:eastAsia="仿宋_GB2312" w:cs="Times New Roman"/>
          <w:color w:val="auto"/>
          <w:sz w:val="32"/>
          <w:szCs w:val="32"/>
        </w:rPr>
        <w:t>%以上</w:t>
      </w:r>
      <w:r>
        <w:rPr>
          <w:rFonts w:hint="default" w:ascii="Times New Roman" w:hAnsi="Times New Roman"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建成</w:t>
      </w:r>
      <w:r>
        <w:rPr>
          <w:rFonts w:hint="default" w:ascii="Times New Roman" w:hAnsi="Times New Roman" w:eastAsia="仿宋_GB2312" w:cs="Times New Roman"/>
          <w:color w:val="auto"/>
          <w:sz w:val="32"/>
          <w:szCs w:val="32"/>
        </w:rPr>
        <w:t>区域养老服务中心9个</w:t>
      </w:r>
      <w:r>
        <w:rPr>
          <w:rFonts w:hint="default" w:ascii="Times New Roman" w:hAnsi="Times New Roman" w:cs="Times New Roman"/>
          <w:color w:val="auto"/>
          <w:sz w:val="32"/>
          <w:szCs w:val="32"/>
          <w:lang w:eastAsia="zh-CN"/>
        </w:rPr>
        <w:t>，</w:t>
      </w:r>
      <w:r>
        <w:rPr>
          <w:rFonts w:hint="default" w:ascii="Times New Roman" w:hAnsi="Times New Roman" w:eastAsia="仿宋_GB2312" w:cs="Times New Roman"/>
          <w:color w:val="auto"/>
          <w:sz w:val="32"/>
          <w:szCs w:val="32"/>
          <w:highlight w:val="none"/>
          <w:lang w:val="en-US" w:eastAsia="zh-CN"/>
        </w:rPr>
        <w:t>实现53个社区日间照料中心、77个农村互助幸福院分类运营，入选全省首批旅居养老试点区。</w:t>
      </w:r>
      <w:r>
        <w:rPr>
          <w:rFonts w:hint="default" w:ascii="Times New Roman" w:hAnsi="Times New Roman" w:cs="Times New Roman"/>
          <w:color w:val="auto"/>
          <w:sz w:val="32"/>
          <w:szCs w:val="32"/>
          <w:lang w:val="en-US" w:eastAsia="zh-CN"/>
        </w:rPr>
        <w:t>拥军优抚政策全面落实，</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网格化+退役军人服务管理</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工作模式得到中央退役军人事务工作领导小组肯定，实现全国双拥模范城</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五连冠</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、全省双拥模范城</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六连冠</w:t>
      </w:r>
      <w:r>
        <w:rPr>
          <w:rFonts w:hint="eastAsia" w:cs="Times New Roman"/>
          <w:color w:val="auto"/>
          <w:sz w:val="32"/>
          <w:szCs w:val="32"/>
          <w:lang w:val="en-US" w:eastAsia="zh-CN"/>
        </w:rPr>
        <w:t>”</w:t>
      </w:r>
      <w:r>
        <w:rPr>
          <w:rFonts w:hint="default" w:ascii="Times New Roman" w:hAnsi="Times New Roman" w:eastAsia="仿宋_GB2312" w:cs="Times New Roman"/>
          <w:b w:val="0"/>
          <w:bCs/>
          <w:color w:val="auto"/>
          <w:sz w:val="32"/>
          <w:szCs w:val="32"/>
          <w:lang w:val="en-US" w:eastAsia="zh-CN"/>
        </w:rPr>
        <w:t>。</w:t>
      </w:r>
    </w:p>
    <w:p w14:paraId="254F504A">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 w:val="32"/>
          <w:szCs w:val="32"/>
          <w:lang w:val="en-US" w:eastAsia="zh-CN"/>
        </w:rPr>
      </w:pPr>
      <w:r>
        <w:rPr>
          <w:rFonts w:hint="default" w:ascii="楷体_GB2312" w:hAnsi="楷体_GB2312" w:eastAsia="楷体_GB2312" w:cs="楷体_GB2312"/>
          <w:b w:val="0"/>
          <w:bCs w:val="0"/>
          <w:color w:val="auto"/>
          <w:szCs w:val="32"/>
          <w:rtl w:val="0"/>
          <w:lang w:val="en-US" w:eastAsia="zh-CN"/>
        </w:rPr>
        <w:t>社会大局保持和谐稳定。</w:t>
      </w:r>
      <w:r>
        <w:rPr>
          <w:rFonts w:hint="default" w:ascii="Times New Roman" w:hAnsi="Times New Roman" w:cs="Times New Roman"/>
          <w:color w:val="auto"/>
          <w:sz w:val="32"/>
          <w:szCs w:val="32"/>
          <w:lang w:val="en-US" w:eastAsia="zh-CN"/>
        </w:rPr>
        <w:t>抗击新冠疫情取得决定性胜利，最大程度保护了群众生命和身体健康。</w:t>
      </w:r>
      <w:r>
        <w:rPr>
          <w:rFonts w:hint="default" w:ascii="Times New Roman" w:hAnsi="Times New Roman" w:eastAsia="仿宋_GB2312" w:cs="Times New Roman"/>
          <w:color w:val="auto"/>
          <w:sz w:val="32"/>
          <w:szCs w:val="32"/>
          <w:lang w:val="en-US" w:eastAsia="zh-CN"/>
        </w:rPr>
        <w:t>安全生产平稳向好。</w:t>
      </w:r>
      <w:r>
        <w:rPr>
          <w:rFonts w:hint="default" w:ascii="Times New Roman" w:hAnsi="Times New Roman" w:cs="Times New Roman"/>
          <w:color w:val="auto"/>
          <w:sz w:val="32"/>
          <w:szCs w:val="32"/>
          <w:lang w:val="en-US" w:eastAsia="zh-CN"/>
        </w:rPr>
        <w:t>全区未发生较大以上生产安全事故，</w:t>
      </w:r>
      <w:r>
        <w:rPr>
          <w:rFonts w:hint="default" w:ascii="Times New Roman" w:hAnsi="Times New Roman" w:eastAsia="仿宋_GB2312" w:cs="Times New Roman"/>
          <w:color w:val="auto"/>
          <w:sz w:val="32"/>
          <w:szCs w:val="32"/>
          <w:lang w:val="en-US" w:eastAsia="zh-CN"/>
        </w:rPr>
        <w:t>事故起数和死亡人数</w:t>
      </w:r>
      <w:r>
        <w:rPr>
          <w:rFonts w:hint="default" w:ascii="Times New Roman" w:hAnsi="Times New Roman" w:cs="Times New Roman"/>
          <w:color w:val="auto"/>
          <w:sz w:val="32"/>
          <w:szCs w:val="32"/>
          <w:lang w:val="en-US" w:eastAsia="zh-CN"/>
        </w:rPr>
        <w:t>较</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十三五</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期间分别下降87.5%、87.5%。食品药品日常监督检查和专项检查实现全覆盖</w:t>
      </w:r>
      <w:r>
        <w:rPr>
          <w:rFonts w:hint="default" w:ascii="Times New Roman" w:hAnsi="Times New Roman" w:eastAsia="仿宋_GB2312" w:cs="Times New Roman"/>
          <w:color w:val="auto"/>
          <w:sz w:val="32"/>
          <w:szCs w:val="32"/>
          <w:lang w:val="en-US" w:eastAsia="zh-CN"/>
        </w:rPr>
        <w:t>。</w:t>
      </w:r>
      <w:r>
        <w:rPr>
          <w:rFonts w:hint="default" w:ascii="Times New Roman" w:hAnsi="Times New Roman" w:cs="Times New Roman"/>
          <w:color w:val="auto"/>
          <w:sz w:val="32"/>
          <w:szCs w:val="32"/>
          <w:lang w:val="en-US" w:eastAsia="zh-CN"/>
        </w:rPr>
        <w:t>平安汉台建设扎实推进。创建4个国家级、2个省级、26个市级、66个区级民主法治示范村（社区），综治中心规范化建设经验在全省推广，</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枫桥经验</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汉台实践获省级表彰。连续三年被表彰命名为省级</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平安区</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，2024年获授全省</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平安铜鼎</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w:t>
      </w:r>
    </w:p>
    <w:p w14:paraId="08B1CC53">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eastAsia="仿宋_GB2312" w:cs="Times New Roman"/>
          <w:b w:val="0"/>
          <w:bCs w:val="0"/>
          <w:color w:val="auto"/>
          <w:sz w:val="32"/>
          <w:szCs w:val="32"/>
          <w:lang w:val="en-US" w:eastAsia="zh-CN"/>
        </w:rPr>
      </w:pP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十四五</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期间汉台区发展成就的取得，根本在于以习近平同志为核心的党中央领航掌舵，在于习近平新时代中国特色社会主义思想科学指引，在于区委、区政府坚强领导、科学决策，在于区人大、区政协有力监督、鼎力支持，在于全区人民埋头苦干、奋力拼搏。成绩来之不易，经验弥足珍贵。总结发展经验：</w:t>
      </w:r>
      <w:r>
        <w:rPr>
          <w:rFonts w:hint="default" w:ascii="Times New Roman" w:hAnsi="Times New Roman" w:cs="Times New Roman"/>
          <w:b/>
          <w:bCs/>
          <w:color w:val="auto"/>
          <w:sz w:val="32"/>
          <w:szCs w:val="32"/>
          <w:lang w:val="en-US" w:eastAsia="zh-CN"/>
        </w:rPr>
        <w:t>一是坚持党的全面领导，始终沿着正确政治方向前进。</w:t>
      </w:r>
      <w:r>
        <w:rPr>
          <w:rFonts w:hint="default" w:ascii="Times New Roman" w:hAnsi="Times New Roman" w:cs="Times New Roman"/>
          <w:color w:val="auto"/>
          <w:sz w:val="32"/>
          <w:szCs w:val="32"/>
          <w:lang w:val="en-US" w:eastAsia="zh-CN"/>
        </w:rPr>
        <w:t>必须旗帜鲜明讲政治，深刻领悟</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两个确立</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的决定性意义，增强</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四个意识</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、坚定</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四个自信</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、做到</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两个维护</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，不折不扣贯通落实习近平总书记历次来陕考察重要讲话重要指示精神、习近平总书记来汉中考察重要指示精神，在中国式现代化新征程上干出新业绩、展现新作为。</w:t>
      </w:r>
      <w:r>
        <w:rPr>
          <w:rFonts w:hint="default" w:ascii="Times New Roman" w:hAnsi="Times New Roman" w:cs="Times New Roman"/>
          <w:b/>
          <w:bCs/>
          <w:color w:val="auto"/>
          <w:sz w:val="32"/>
          <w:szCs w:val="32"/>
          <w:lang w:val="en-US" w:eastAsia="zh-CN"/>
        </w:rPr>
        <w:t>二是坚持高质量发展首要任务，当好生态城市建设标杆。</w:t>
      </w:r>
      <w:r>
        <w:rPr>
          <w:rFonts w:hint="default" w:ascii="Times New Roman" w:hAnsi="Times New Roman" w:cs="Times New Roman"/>
          <w:color w:val="auto"/>
          <w:sz w:val="32"/>
          <w:szCs w:val="32"/>
          <w:lang w:val="en-US" w:eastAsia="zh-CN"/>
        </w:rPr>
        <w:t>以做大城市、做强功能、做优布局、做美环境为重点，让汉台更加具有中心城市的外在形象和内在特质。</w:t>
      </w:r>
      <w:r>
        <w:rPr>
          <w:rFonts w:hint="default" w:ascii="Times New Roman" w:hAnsi="Times New Roman" w:cs="Times New Roman"/>
          <w:b/>
          <w:bCs/>
          <w:color w:val="auto"/>
          <w:sz w:val="32"/>
          <w:szCs w:val="32"/>
          <w:lang w:val="en-US" w:eastAsia="zh-CN"/>
        </w:rPr>
        <w:t>三是坚持狠抓项目建设，精准招商引资扩大有效投资。</w:t>
      </w:r>
      <w:r>
        <w:rPr>
          <w:rFonts w:hint="default" w:ascii="Times New Roman" w:hAnsi="Times New Roman" w:cs="Times New Roman"/>
          <w:color w:val="auto"/>
          <w:sz w:val="32"/>
          <w:szCs w:val="32"/>
          <w:lang w:val="en-US" w:eastAsia="zh-CN"/>
        </w:rPr>
        <w:t>把招商引资和项目建设作为稳就业、稳企业、稳市场、稳预期的重要抓手，科学精准谋项目，抢时争速建项目。</w:t>
      </w:r>
      <w:r>
        <w:rPr>
          <w:rFonts w:hint="default" w:ascii="Times New Roman" w:hAnsi="Times New Roman" w:cs="Times New Roman"/>
          <w:b/>
          <w:bCs/>
          <w:color w:val="auto"/>
          <w:sz w:val="32"/>
          <w:szCs w:val="32"/>
          <w:lang w:val="en-US" w:eastAsia="zh-CN"/>
        </w:rPr>
        <w:t>四是坚持生态优先理念，共建共享打造美好幸福家园。</w:t>
      </w:r>
      <w:r>
        <w:rPr>
          <w:rFonts w:hint="default" w:ascii="Times New Roman" w:hAnsi="Times New Roman" w:cs="Times New Roman"/>
          <w:color w:val="auto"/>
          <w:sz w:val="32"/>
          <w:szCs w:val="32"/>
          <w:lang w:val="en-US" w:eastAsia="zh-CN"/>
        </w:rPr>
        <w:t>坚决当好秦岭卫士，倡导绿色生活，厚植绿色基底，努力建设环境优美、绿色低碳、宜居宜游的生态城市。</w:t>
      </w:r>
      <w:r>
        <w:rPr>
          <w:rFonts w:hint="default" w:ascii="Times New Roman" w:hAnsi="Times New Roman" w:cs="Times New Roman"/>
          <w:b/>
          <w:bCs/>
          <w:color w:val="auto"/>
          <w:sz w:val="32"/>
          <w:szCs w:val="32"/>
          <w:lang w:val="en-US" w:eastAsia="zh-CN"/>
        </w:rPr>
        <w:t>五是坚持以人民为中心，真心实意服务群众造福于民。</w:t>
      </w:r>
      <w:r>
        <w:rPr>
          <w:rFonts w:hint="default" w:ascii="Times New Roman" w:hAnsi="Times New Roman" w:cs="Times New Roman"/>
          <w:color w:val="auto"/>
          <w:sz w:val="32"/>
          <w:szCs w:val="32"/>
          <w:lang w:val="en-US" w:eastAsia="zh-CN"/>
        </w:rPr>
        <w:t>把人民对美好生活的向往作为奋斗目标，主动为人民群众做好事、办实事、解难事，着力增进民生福祉。</w:t>
      </w:r>
      <w:r>
        <w:rPr>
          <w:rFonts w:hint="default" w:ascii="Times New Roman" w:hAnsi="Times New Roman" w:cs="Times New Roman"/>
          <w:b/>
          <w:bCs/>
          <w:color w:val="auto"/>
          <w:sz w:val="32"/>
          <w:szCs w:val="32"/>
          <w:lang w:val="en-US" w:eastAsia="zh-CN"/>
        </w:rPr>
        <w:t>六是坚持全面深化改革，加强交流合作增强内生动能。</w:t>
      </w:r>
      <w:r>
        <w:rPr>
          <w:rFonts w:hint="default" w:ascii="Times New Roman" w:hAnsi="Times New Roman" w:cs="Times New Roman"/>
          <w:color w:val="auto"/>
          <w:sz w:val="32"/>
          <w:szCs w:val="32"/>
          <w:lang w:val="en-US" w:eastAsia="zh-CN"/>
        </w:rPr>
        <w:t>以改革的思维、创新的精神、开放的姿态，扬优势、</w:t>
      </w:r>
      <w:r>
        <w:rPr>
          <w:rFonts w:hint="default" w:ascii="Times New Roman" w:hAnsi="Times New Roman" w:cs="Times New Roman"/>
          <w:b w:val="0"/>
          <w:bCs w:val="0"/>
          <w:color w:val="auto"/>
          <w:sz w:val="32"/>
          <w:szCs w:val="32"/>
          <w:lang w:val="en-US" w:eastAsia="zh-CN"/>
        </w:rPr>
        <w:t>补短板、聚资源，</w:t>
      </w:r>
      <w:r>
        <w:rPr>
          <w:rFonts w:hint="default" w:ascii="Times New Roman" w:hAnsi="Times New Roman" w:eastAsia="仿宋_GB2312" w:cs="Times New Roman"/>
          <w:b w:val="0"/>
          <w:bCs w:val="0"/>
          <w:color w:val="auto"/>
          <w:sz w:val="32"/>
          <w:szCs w:val="32"/>
          <w:lang w:val="en-US" w:eastAsia="zh-CN"/>
        </w:rPr>
        <w:t>不断增强</w:t>
      </w:r>
      <w:r>
        <w:rPr>
          <w:rFonts w:hint="default" w:ascii="Times New Roman" w:hAnsi="Times New Roman" w:cs="Times New Roman"/>
          <w:b w:val="0"/>
          <w:bCs w:val="0"/>
          <w:color w:val="auto"/>
          <w:sz w:val="32"/>
          <w:szCs w:val="32"/>
          <w:lang w:val="en-US" w:eastAsia="zh-CN"/>
        </w:rPr>
        <w:t>内生发展动力</w:t>
      </w:r>
      <w:r>
        <w:rPr>
          <w:rFonts w:hint="default" w:ascii="Times New Roman" w:hAnsi="Times New Roman" w:eastAsia="仿宋_GB2312" w:cs="Times New Roman"/>
          <w:b w:val="0"/>
          <w:bCs w:val="0"/>
          <w:color w:val="auto"/>
          <w:sz w:val="32"/>
          <w:szCs w:val="32"/>
          <w:lang w:val="en-US" w:eastAsia="zh-CN"/>
        </w:rPr>
        <w:t>。</w:t>
      </w:r>
    </w:p>
    <w:p w14:paraId="3004B8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表1-1  汉台区</w:t>
      </w:r>
      <w:r>
        <w:rPr>
          <w:rFonts w:hint="eastAsia" w:eastAsia="黑体" w:cs="Times New Roman"/>
          <w:b w:val="0"/>
          <w:bCs w:val="0"/>
          <w:color w:val="auto"/>
          <w:sz w:val="24"/>
          <w:szCs w:val="24"/>
          <w:lang w:val="en-US" w:eastAsia="zh-CN"/>
        </w:rPr>
        <w:t>“</w:t>
      </w:r>
      <w:r>
        <w:rPr>
          <w:rFonts w:hint="default" w:ascii="Times New Roman" w:hAnsi="Times New Roman" w:eastAsia="黑体" w:cs="Times New Roman"/>
          <w:b w:val="0"/>
          <w:bCs w:val="0"/>
          <w:color w:val="auto"/>
          <w:sz w:val="24"/>
          <w:szCs w:val="24"/>
          <w:lang w:val="en-US" w:eastAsia="zh-CN"/>
        </w:rPr>
        <w:t>十四五</w:t>
      </w:r>
      <w:r>
        <w:rPr>
          <w:rFonts w:hint="eastAsia" w:eastAsia="黑体" w:cs="Times New Roman"/>
          <w:b w:val="0"/>
          <w:bCs w:val="0"/>
          <w:color w:val="auto"/>
          <w:sz w:val="24"/>
          <w:szCs w:val="24"/>
          <w:lang w:val="en-US" w:eastAsia="zh-CN"/>
        </w:rPr>
        <w:t>”</w:t>
      </w:r>
      <w:r>
        <w:rPr>
          <w:rFonts w:hint="default" w:ascii="Times New Roman" w:hAnsi="Times New Roman" w:eastAsia="黑体" w:cs="Times New Roman"/>
          <w:b w:val="0"/>
          <w:bCs w:val="0"/>
          <w:color w:val="auto"/>
          <w:sz w:val="24"/>
          <w:szCs w:val="24"/>
          <w:lang w:val="en-US" w:eastAsia="zh-CN"/>
        </w:rPr>
        <w:t>经济社会发展指标完成情况表</w:t>
      </w:r>
    </w:p>
    <w:tbl>
      <w:tblPr>
        <w:tblStyle w:val="14"/>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8"/>
        <w:gridCol w:w="3993"/>
        <w:gridCol w:w="799"/>
        <w:gridCol w:w="682"/>
        <w:gridCol w:w="832"/>
        <w:gridCol w:w="833"/>
        <w:gridCol w:w="799"/>
        <w:gridCol w:w="1031"/>
      </w:tblGrid>
      <w:tr w14:paraId="2CEC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528" w:type="dxa"/>
            <w:vMerge w:val="restart"/>
            <w:noWrap w:val="0"/>
            <w:tcMar>
              <w:top w:w="15" w:type="dxa"/>
              <w:left w:w="15" w:type="dxa"/>
              <w:right w:w="15" w:type="dxa"/>
            </w:tcMar>
            <w:vAlign w:val="center"/>
          </w:tcPr>
          <w:p w14:paraId="1F78BAAE">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sz w:val="24"/>
                <w:szCs w:val="24"/>
                <w:highlight w:val="none"/>
              </w:rPr>
            </w:pPr>
            <w:r>
              <w:rPr>
                <w:rFonts w:hint="default" w:ascii="Times New Roman" w:hAnsi="Times New Roman" w:eastAsia="宋体" w:cs="Times New Roman"/>
                <w:b/>
                <w:i w:val="0"/>
                <w:color w:val="auto"/>
                <w:kern w:val="0"/>
                <w:sz w:val="24"/>
                <w:szCs w:val="24"/>
                <w:highlight w:val="none"/>
                <w:lang w:bidi="ar"/>
              </w:rPr>
              <w:t>类别</w:t>
            </w:r>
          </w:p>
        </w:tc>
        <w:tc>
          <w:tcPr>
            <w:tcW w:w="3993" w:type="dxa"/>
            <w:vMerge w:val="restart"/>
            <w:noWrap w:val="0"/>
            <w:tcMar>
              <w:top w:w="15" w:type="dxa"/>
              <w:left w:w="15" w:type="dxa"/>
              <w:right w:w="15" w:type="dxa"/>
            </w:tcMar>
            <w:vAlign w:val="center"/>
          </w:tcPr>
          <w:p w14:paraId="335EBB79">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sz w:val="24"/>
                <w:szCs w:val="24"/>
                <w:highlight w:val="none"/>
              </w:rPr>
            </w:pPr>
            <w:r>
              <w:rPr>
                <w:rFonts w:hint="default" w:ascii="Times New Roman" w:hAnsi="Times New Roman" w:eastAsia="宋体" w:cs="Times New Roman"/>
                <w:b/>
                <w:i w:val="0"/>
                <w:color w:val="auto"/>
                <w:kern w:val="0"/>
                <w:sz w:val="24"/>
                <w:szCs w:val="24"/>
                <w:highlight w:val="none"/>
                <w:lang w:bidi="ar"/>
              </w:rPr>
              <w:t>指标名称</w:t>
            </w:r>
          </w:p>
        </w:tc>
        <w:tc>
          <w:tcPr>
            <w:tcW w:w="1481" w:type="dxa"/>
            <w:gridSpan w:val="2"/>
            <w:noWrap w:val="0"/>
            <w:tcMar>
              <w:top w:w="15" w:type="dxa"/>
              <w:left w:w="15" w:type="dxa"/>
              <w:right w:w="15" w:type="dxa"/>
            </w:tcMar>
            <w:vAlign w:val="center"/>
          </w:tcPr>
          <w:p w14:paraId="6DDC0F81">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hint="default" w:ascii="Times New Roman" w:hAnsi="Times New Roman" w:eastAsia="宋体" w:cs="Times New Roman"/>
                <w:b/>
                <w:i w:val="0"/>
                <w:color w:val="auto"/>
                <w:sz w:val="24"/>
                <w:szCs w:val="24"/>
                <w:highlight w:val="none"/>
                <w:lang w:val="en-US" w:eastAsia="zh-CN"/>
              </w:rPr>
            </w:pPr>
            <w:r>
              <w:rPr>
                <w:rFonts w:hint="default" w:ascii="Times New Roman" w:hAnsi="Times New Roman" w:eastAsia="宋体" w:cs="Times New Roman"/>
                <w:b/>
                <w:i w:val="0"/>
                <w:color w:val="auto"/>
                <w:kern w:val="0"/>
                <w:sz w:val="24"/>
                <w:szCs w:val="24"/>
                <w:highlight w:val="none"/>
                <w:lang w:val="en-US" w:eastAsia="zh-CN" w:bidi="ar"/>
              </w:rPr>
              <w:t>规划目标</w:t>
            </w:r>
          </w:p>
        </w:tc>
        <w:tc>
          <w:tcPr>
            <w:tcW w:w="1665" w:type="dxa"/>
            <w:gridSpan w:val="2"/>
            <w:noWrap w:val="0"/>
            <w:tcMar>
              <w:top w:w="15" w:type="dxa"/>
              <w:left w:w="15" w:type="dxa"/>
              <w:right w:w="15" w:type="dxa"/>
            </w:tcMar>
            <w:vAlign w:val="center"/>
          </w:tcPr>
          <w:p w14:paraId="105EF502">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hint="default" w:ascii="Times New Roman" w:hAnsi="Times New Roman" w:eastAsia="宋体" w:cs="Times New Roman"/>
                <w:b/>
                <w:i w:val="0"/>
                <w:color w:val="auto"/>
                <w:sz w:val="24"/>
                <w:szCs w:val="24"/>
                <w:highlight w:val="none"/>
                <w:lang w:val="en-US" w:eastAsia="zh-CN"/>
              </w:rPr>
            </w:pPr>
            <w:r>
              <w:rPr>
                <w:rFonts w:hint="default" w:ascii="Times New Roman" w:hAnsi="Times New Roman" w:eastAsia="宋体" w:cs="Times New Roman"/>
                <w:b/>
                <w:i w:val="0"/>
                <w:color w:val="auto"/>
                <w:kern w:val="0"/>
                <w:sz w:val="24"/>
                <w:szCs w:val="24"/>
                <w:highlight w:val="none"/>
                <w:lang w:val="en-US" w:eastAsia="zh-CN" w:bidi="ar"/>
              </w:rPr>
              <w:t>完成情况</w:t>
            </w:r>
          </w:p>
        </w:tc>
        <w:tc>
          <w:tcPr>
            <w:tcW w:w="799" w:type="dxa"/>
            <w:vMerge w:val="restart"/>
            <w:noWrap w:val="0"/>
            <w:tcMar>
              <w:top w:w="15" w:type="dxa"/>
              <w:left w:w="15" w:type="dxa"/>
              <w:right w:w="15" w:type="dxa"/>
            </w:tcMar>
            <w:vAlign w:val="center"/>
          </w:tcPr>
          <w:p w14:paraId="2A51377A">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sz w:val="24"/>
                <w:szCs w:val="24"/>
                <w:highlight w:val="none"/>
              </w:rPr>
            </w:pPr>
            <w:r>
              <w:rPr>
                <w:rFonts w:hint="default" w:ascii="Times New Roman" w:hAnsi="Times New Roman" w:eastAsia="宋体" w:cs="Times New Roman"/>
                <w:b/>
                <w:i w:val="0"/>
                <w:color w:val="auto"/>
                <w:kern w:val="0"/>
                <w:sz w:val="24"/>
                <w:szCs w:val="24"/>
                <w:highlight w:val="none"/>
                <w:lang w:val="en-US" w:eastAsia="zh-CN" w:bidi="ar"/>
              </w:rPr>
              <w:t>指标</w:t>
            </w:r>
            <w:r>
              <w:rPr>
                <w:rFonts w:hint="default" w:ascii="Times New Roman" w:hAnsi="Times New Roman" w:eastAsia="宋体" w:cs="Times New Roman"/>
                <w:b/>
                <w:i w:val="0"/>
                <w:color w:val="auto"/>
                <w:kern w:val="0"/>
                <w:sz w:val="24"/>
                <w:szCs w:val="24"/>
                <w:highlight w:val="none"/>
                <w:lang w:bidi="ar"/>
              </w:rPr>
              <w:t>属性</w:t>
            </w:r>
          </w:p>
        </w:tc>
        <w:tc>
          <w:tcPr>
            <w:tcW w:w="1031" w:type="dxa"/>
            <w:vMerge w:val="restart"/>
            <w:noWrap w:val="0"/>
            <w:tcMar>
              <w:top w:w="15" w:type="dxa"/>
              <w:left w:w="15" w:type="dxa"/>
              <w:right w:w="15" w:type="dxa"/>
            </w:tcMar>
            <w:vAlign w:val="center"/>
          </w:tcPr>
          <w:p w14:paraId="0A612B1D">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kern w:val="0"/>
                <w:sz w:val="24"/>
                <w:szCs w:val="24"/>
                <w:highlight w:val="none"/>
                <w:lang w:val="en-US" w:eastAsia="zh-CN" w:bidi="ar"/>
              </w:rPr>
            </w:pPr>
            <w:r>
              <w:rPr>
                <w:rFonts w:hint="default" w:ascii="Times New Roman" w:hAnsi="Times New Roman" w:eastAsia="宋体" w:cs="Times New Roman"/>
                <w:b/>
                <w:i w:val="0"/>
                <w:color w:val="auto"/>
                <w:kern w:val="0"/>
                <w:sz w:val="24"/>
                <w:szCs w:val="24"/>
                <w:highlight w:val="none"/>
                <w:lang w:val="en-US" w:eastAsia="zh-CN" w:bidi="ar"/>
              </w:rPr>
              <w:t>备注</w:t>
            </w:r>
          </w:p>
        </w:tc>
      </w:tr>
      <w:tr w14:paraId="2618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528" w:type="dxa"/>
            <w:vMerge w:val="continue"/>
            <w:noWrap w:val="0"/>
            <w:tcMar>
              <w:top w:w="15" w:type="dxa"/>
              <w:left w:w="15" w:type="dxa"/>
              <w:right w:w="15" w:type="dxa"/>
            </w:tcMar>
            <w:vAlign w:val="center"/>
          </w:tcPr>
          <w:p w14:paraId="1F281017">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kern w:val="0"/>
                <w:sz w:val="24"/>
                <w:szCs w:val="24"/>
                <w:highlight w:val="none"/>
                <w:lang w:bidi="ar"/>
              </w:rPr>
            </w:pPr>
          </w:p>
        </w:tc>
        <w:tc>
          <w:tcPr>
            <w:tcW w:w="3993" w:type="dxa"/>
            <w:vMerge w:val="continue"/>
            <w:noWrap w:val="0"/>
            <w:tcMar>
              <w:top w:w="15" w:type="dxa"/>
              <w:left w:w="15" w:type="dxa"/>
              <w:right w:w="15" w:type="dxa"/>
            </w:tcMar>
            <w:vAlign w:val="center"/>
          </w:tcPr>
          <w:p w14:paraId="429DC343">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kern w:val="0"/>
                <w:sz w:val="24"/>
                <w:szCs w:val="24"/>
                <w:highlight w:val="none"/>
                <w:lang w:bidi="ar"/>
              </w:rPr>
            </w:pPr>
          </w:p>
        </w:tc>
        <w:tc>
          <w:tcPr>
            <w:tcW w:w="799" w:type="dxa"/>
            <w:noWrap w:val="0"/>
            <w:tcMar>
              <w:top w:w="15" w:type="dxa"/>
              <w:left w:w="15" w:type="dxa"/>
              <w:right w:w="15" w:type="dxa"/>
            </w:tcMar>
            <w:vAlign w:val="center"/>
          </w:tcPr>
          <w:p w14:paraId="3175A542">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hint="default" w:ascii="Times New Roman" w:hAnsi="Times New Roman" w:eastAsia="宋体" w:cs="Times New Roman"/>
                <w:b/>
                <w:i w:val="0"/>
                <w:color w:val="auto"/>
                <w:kern w:val="0"/>
                <w:sz w:val="24"/>
                <w:szCs w:val="24"/>
                <w:highlight w:val="none"/>
                <w:lang w:val="en-US" w:eastAsia="zh-CN" w:bidi="ar"/>
              </w:rPr>
            </w:pPr>
            <w:r>
              <w:rPr>
                <w:rFonts w:hint="default" w:ascii="Times New Roman" w:hAnsi="Times New Roman" w:eastAsia="宋体" w:cs="Times New Roman"/>
                <w:b/>
                <w:i w:val="0"/>
                <w:color w:val="auto"/>
                <w:kern w:val="0"/>
                <w:sz w:val="24"/>
                <w:szCs w:val="24"/>
                <w:highlight w:val="none"/>
                <w:lang w:val="en-US" w:eastAsia="zh-CN" w:bidi="ar"/>
              </w:rPr>
              <w:t>2025年目标值</w:t>
            </w:r>
          </w:p>
        </w:tc>
        <w:tc>
          <w:tcPr>
            <w:tcW w:w="682" w:type="dxa"/>
            <w:noWrap w:val="0"/>
            <w:tcMar>
              <w:top w:w="15" w:type="dxa"/>
              <w:left w:w="15" w:type="dxa"/>
              <w:right w:w="15" w:type="dxa"/>
            </w:tcMar>
            <w:vAlign w:val="center"/>
          </w:tcPr>
          <w:p w14:paraId="212DF759">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hint="default" w:ascii="Times New Roman" w:hAnsi="Times New Roman" w:eastAsia="宋体" w:cs="Times New Roman"/>
                <w:b/>
                <w:i w:val="0"/>
                <w:color w:val="auto"/>
                <w:kern w:val="0"/>
                <w:sz w:val="24"/>
                <w:szCs w:val="24"/>
                <w:highlight w:val="none"/>
                <w:lang w:val="en-US" w:eastAsia="zh-CN" w:bidi="ar"/>
              </w:rPr>
            </w:pPr>
            <w:r>
              <w:rPr>
                <w:rFonts w:hint="default" w:ascii="Times New Roman" w:hAnsi="Times New Roman" w:eastAsia="宋体" w:cs="Times New Roman"/>
                <w:b/>
                <w:i w:val="0"/>
                <w:color w:val="auto"/>
                <w:kern w:val="0"/>
                <w:sz w:val="24"/>
                <w:szCs w:val="24"/>
                <w:highlight w:val="none"/>
                <w:lang w:val="en-US" w:eastAsia="zh-CN" w:bidi="ar"/>
              </w:rPr>
              <w:t>年均增速</w:t>
            </w:r>
          </w:p>
        </w:tc>
        <w:tc>
          <w:tcPr>
            <w:tcW w:w="832" w:type="dxa"/>
            <w:noWrap w:val="0"/>
            <w:tcMar>
              <w:top w:w="15" w:type="dxa"/>
              <w:left w:w="15" w:type="dxa"/>
              <w:right w:w="15" w:type="dxa"/>
            </w:tcMar>
            <w:vAlign w:val="center"/>
          </w:tcPr>
          <w:p w14:paraId="69D6EDC8">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hint="default" w:ascii="Times New Roman" w:hAnsi="Times New Roman" w:eastAsia="宋体" w:cs="Times New Roman"/>
                <w:b/>
                <w:i w:val="0"/>
                <w:color w:val="auto"/>
                <w:kern w:val="0"/>
                <w:sz w:val="24"/>
                <w:szCs w:val="24"/>
                <w:highlight w:val="none"/>
                <w:lang w:val="en-US" w:eastAsia="zh-CN" w:bidi="ar"/>
              </w:rPr>
            </w:pPr>
            <w:r>
              <w:rPr>
                <w:rFonts w:hint="default" w:ascii="Times New Roman" w:hAnsi="Times New Roman" w:eastAsia="宋体" w:cs="Times New Roman"/>
                <w:b/>
                <w:i w:val="0"/>
                <w:color w:val="auto"/>
                <w:kern w:val="0"/>
                <w:sz w:val="24"/>
                <w:szCs w:val="24"/>
                <w:highlight w:val="none"/>
                <w:lang w:val="en-US" w:eastAsia="zh-CN" w:bidi="ar"/>
              </w:rPr>
              <w:t>2025年完成值</w:t>
            </w:r>
          </w:p>
        </w:tc>
        <w:tc>
          <w:tcPr>
            <w:tcW w:w="833" w:type="dxa"/>
            <w:noWrap w:val="0"/>
            <w:tcMar>
              <w:top w:w="15" w:type="dxa"/>
              <w:left w:w="15" w:type="dxa"/>
              <w:right w:w="15" w:type="dxa"/>
            </w:tcMar>
            <w:vAlign w:val="center"/>
          </w:tcPr>
          <w:p w14:paraId="073D6EB4">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center"/>
              <w:textAlignment w:val="center"/>
              <w:rPr>
                <w:rFonts w:hint="default" w:ascii="Times New Roman" w:hAnsi="Times New Roman" w:eastAsia="宋体" w:cs="Times New Roman"/>
                <w:b/>
                <w:i w:val="0"/>
                <w:color w:val="auto"/>
                <w:kern w:val="0"/>
                <w:sz w:val="24"/>
                <w:szCs w:val="24"/>
                <w:highlight w:val="none"/>
                <w:lang w:val="en-US" w:eastAsia="zh-CN" w:bidi="ar"/>
              </w:rPr>
            </w:pPr>
            <w:r>
              <w:rPr>
                <w:rFonts w:hint="default" w:ascii="Times New Roman" w:hAnsi="Times New Roman" w:eastAsia="宋体" w:cs="Times New Roman"/>
                <w:b/>
                <w:i w:val="0"/>
                <w:color w:val="auto"/>
                <w:kern w:val="0"/>
                <w:sz w:val="24"/>
                <w:szCs w:val="24"/>
                <w:highlight w:val="none"/>
                <w:lang w:val="en-US" w:eastAsia="zh-CN" w:bidi="ar"/>
              </w:rPr>
              <w:t>五年年均增速</w:t>
            </w:r>
          </w:p>
        </w:tc>
        <w:tc>
          <w:tcPr>
            <w:tcW w:w="799" w:type="dxa"/>
            <w:vMerge w:val="continue"/>
            <w:noWrap w:val="0"/>
            <w:tcMar>
              <w:top w:w="15" w:type="dxa"/>
              <w:left w:w="15" w:type="dxa"/>
              <w:right w:w="15" w:type="dxa"/>
            </w:tcMar>
            <w:vAlign w:val="center"/>
          </w:tcPr>
          <w:p w14:paraId="2EBDBA7C">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kern w:val="0"/>
                <w:sz w:val="24"/>
                <w:szCs w:val="24"/>
                <w:highlight w:val="none"/>
                <w:lang w:bidi="ar"/>
              </w:rPr>
            </w:pPr>
          </w:p>
        </w:tc>
        <w:tc>
          <w:tcPr>
            <w:tcW w:w="1031" w:type="dxa"/>
            <w:vMerge w:val="continue"/>
            <w:noWrap w:val="0"/>
            <w:tcMar>
              <w:top w:w="15" w:type="dxa"/>
              <w:left w:w="15" w:type="dxa"/>
              <w:right w:w="15" w:type="dxa"/>
            </w:tcMar>
            <w:vAlign w:val="center"/>
          </w:tcPr>
          <w:p w14:paraId="2CF028D2">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kern w:val="0"/>
                <w:sz w:val="24"/>
                <w:szCs w:val="24"/>
                <w:highlight w:val="none"/>
                <w:lang w:bidi="ar"/>
              </w:rPr>
            </w:pPr>
          </w:p>
        </w:tc>
      </w:tr>
      <w:tr w14:paraId="4A9A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8" w:type="dxa"/>
            <w:vMerge w:val="restart"/>
            <w:noWrap w:val="0"/>
            <w:tcMar>
              <w:top w:w="15" w:type="dxa"/>
              <w:left w:w="15" w:type="dxa"/>
              <w:right w:w="15" w:type="dxa"/>
            </w:tcMar>
            <w:vAlign w:val="center"/>
          </w:tcPr>
          <w:p w14:paraId="27154E49">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kern w:val="0"/>
                <w:sz w:val="24"/>
                <w:szCs w:val="24"/>
                <w:highlight w:val="none"/>
                <w:lang w:val="en-US" w:eastAsia="zh-CN" w:bidi="ar"/>
              </w:rPr>
              <w:t>经济发展</w:t>
            </w:r>
          </w:p>
        </w:tc>
        <w:tc>
          <w:tcPr>
            <w:tcW w:w="3993" w:type="dxa"/>
            <w:noWrap w:val="0"/>
            <w:tcMar>
              <w:top w:w="15" w:type="dxa"/>
              <w:left w:w="15" w:type="dxa"/>
              <w:right w:w="15" w:type="dxa"/>
            </w:tcMar>
            <w:vAlign w:val="center"/>
          </w:tcPr>
          <w:p w14:paraId="7122B77E">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sz w:val="24"/>
                <w:szCs w:val="24"/>
                <w:highlight w:val="none"/>
              </w:rPr>
            </w:pPr>
            <w:r>
              <w:rPr>
                <w:rFonts w:hint="default" w:ascii="Times New Roman" w:hAnsi="Times New Roman" w:eastAsia="宋体" w:cs="Times New Roman"/>
                <w:b w:val="0"/>
                <w:i w:val="0"/>
                <w:color w:val="auto"/>
                <w:kern w:val="0"/>
                <w:sz w:val="24"/>
                <w:szCs w:val="24"/>
                <w:highlight w:val="none"/>
                <w:lang w:bidi="ar"/>
              </w:rPr>
              <w:t>地区生产总值（</w:t>
            </w:r>
            <w:r>
              <w:rPr>
                <w:rFonts w:hint="default" w:ascii="Times New Roman" w:hAnsi="Times New Roman" w:eastAsia="宋体" w:cs="Times New Roman"/>
                <w:b w:val="0"/>
                <w:i w:val="0"/>
                <w:color w:val="auto"/>
                <w:kern w:val="0"/>
                <w:sz w:val="24"/>
                <w:szCs w:val="24"/>
                <w:highlight w:val="none"/>
                <w:lang w:val="en-US" w:eastAsia="zh-CN" w:bidi="ar"/>
              </w:rPr>
              <w:t>亿元</w:t>
            </w:r>
            <w:r>
              <w:rPr>
                <w:rFonts w:hint="default" w:ascii="Times New Roman" w:hAnsi="Times New Roman" w:eastAsia="宋体" w:cs="Times New Roman"/>
                <w:b w:val="0"/>
                <w:i w:val="0"/>
                <w:color w:val="auto"/>
                <w:kern w:val="0"/>
                <w:sz w:val="24"/>
                <w:szCs w:val="24"/>
                <w:highlight w:val="none"/>
                <w:lang w:bidi="ar"/>
              </w:rPr>
              <w:t>）</w:t>
            </w:r>
          </w:p>
        </w:tc>
        <w:tc>
          <w:tcPr>
            <w:tcW w:w="799" w:type="dxa"/>
            <w:noWrap w:val="0"/>
            <w:tcMar>
              <w:top w:w="15" w:type="dxa"/>
              <w:left w:w="15" w:type="dxa"/>
              <w:right w:w="15" w:type="dxa"/>
            </w:tcMar>
            <w:vAlign w:val="center"/>
          </w:tcPr>
          <w:p w14:paraId="61592208">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bCs/>
                <w:i w:val="0"/>
                <w:color w:val="auto"/>
                <w:kern w:val="0"/>
                <w:sz w:val="24"/>
                <w:szCs w:val="24"/>
                <w:highlight w:val="none"/>
                <w:lang w:val="en-US" w:eastAsia="zh-CN" w:bidi="ar"/>
              </w:rPr>
            </w:pPr>
            <w:r>
              <w:rPr>
                <w:rFonts w:hint="default" w:ascii="Times New Roman" w:hAnsi="Times New Roman" w:eastAsia="宋体" w:cs="Times New Roman"/>
                <w:b w:val="0"/>
                <w:bCs/>
                <w:i w:val="0"/>
                <w:color w:val="auto"/>
                <w:kern w:val="0"/>
                <w:sz w:val="24"/>
                <w:szCs w:val="24"/>
                <w:highlight w:val="none"/>
                <w:lang w:val="en-US" w:eastAsia="zh-CN" w:bidi="ar"/>
              </w:rPr>
              <w:t>500</w:t>
            </w:r>
          </w:p>
        </w:tc>
        <w:tc>
          <w:tcPr>
            <w:tcW w:w="682" w:type="dxa"/>
            <w:noWrap w:val="0"/>
            <w:tcMar>
              <w:top w:w="15" w:type="dxa"/>
              <w:left w:w="15" w:type="dxa"/>
              <w:right w:w="15" w:type="dxa"/>
            </w:tcMar>
            <w:vAlign w:val="center"/>
          </w:tcPr>
          <w:p w14:paraId="6B6A619D">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bCs/>
                <w:i w:val="0"/>
                <w:color w:val="auto"/>
                <w:kern w:val="0"/>
                <w:sz w:val="24"/>
                <w:szCs w:val="24"/>
                <w:highlight w:val="none"/>
                <w:lang w:val="en-US" w:eastAsia="zh-CN" w:bidi="ar"/>
              </w:rPr>
              <w:t>6%</w:t>
            </w:r>
          </w:p>
        </w:tc>
        <w:tc>
          <w:tcPr>
            <w:tcW w:w="832" w:type="dxa"/>
            <w:noWrap w:val="0"/>
            <w:tcMar>
              <w:top w:w="15" w:type="dxa"/>
              <w:left w:w="15" w:type="dxa"/>
              <w:right w:w="15" w:type="dxa"/>
            </w:tcMar>
            <w:vAlign w:val="center"/>
          </w:tcPr>
          <w:p w14:paraId="1C4D29C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r>
              <w:rPr>
                <w:rFonts w:hint="eastAsia" w:eastAsia="宋体" w:cs="Times New Roman"/>
                <w:b w:val="0"/>
                <w:i w:val="0"/>
                <w:color w:val="auto"/>
                <w:sz w:val="24"/>
                <w:szCs w:val="24"/>
                <w:highlight w:val="none"/>
                <w:lang w:val="en-US" w:eastAsia="zh-CN"/>
              </w:rPr>
              <w:t>-</w:t>
            </w:r>
          </w:p>
        </w:tc>
        <w:tc>
          <w:tcPr>
            <w:tcW w:w="833" w:type="dxa"/>
            <w:noWrap w:val="0"/>
            <w:tcMar>
              <w:top w:w="15" w:type="dxa"/>
              <w:left w:w="15" w:type="dxa"/>
              <w:right w:w="15" w:type="dxa"/>
            </w:tcMar>
            <w:vAlign w:val="center"/>
          </w:tcPr>
          <w:p w14:paraId="60EF04BF">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3.8%</w:t>
            </w:r>
          </w:p>
        </w:tc>
        <w:tc>
          <w:tcPr>
            <w:tcW w:w="799" w:type="dxa"/>
            <w:noWrap w:val="0"/>
            <w:tcMar>
              <w:top w:w="15" w:type="dxa"/>
              <w:left w:w="15" w:type="dxa"/>
              <w:right w:w="15" w:type="dxa"/>
            </w:tcMar>
            <w:vAlign w:val="center"/>
          </w:tcPr>
          <w:p w14:paraId="79B4516C">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auto"/>
                <w:sz w:val="24"/>
                <w:szCs w:val="24"/>
                <w:highlight w:val="none"/>
              </w:rPr>
            </w:pPr>
            <w:r>
              <w:rPr>
                <w:rFonts w:hint="default" w:ascii="Times New Roman" w:hAnsi="Times New Roman" w:eastAsia="宋体" w:cs="Times New Roman"/>
                <w:color w:val="0C0C0C"/>
                <w:sz w:val="24"/>
                <w:szCs w:val="24"/>
                <w:lang w:val="en-US" w:eastAsia="zh-CN" w:bidi="ar"/>
              </w:rPr>
              <w:t>预期性</w:t>
            </w:r>
          </w:p>
        </w:tc>
        <w:tc>
          <w:tcPr>
            <w:tcW w:w="1031" w:type="dxa"/>
            <w:noWrap w:val="0"/>
            <w:tcMar>
              <w:top w:w="15" w:type="dxa"/>
              <w:left w:w="15" w:type="dxa"/>
              <w:right w:w="15" w:type="dxa"/>
            </w:tcMar>
            <w:vAlign w:val="center"/>
          </w:tcPr>
          <w:p w14:paraId="43B0B848">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r>
      <w:tr w14:paraId="099E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8" w:type="dxa"/>
            <w:vMerge w:val="continue"/>
            <w:noWrap/>
            <w:tcMar>
              <w:top w:w="15" w:type="dxa"/>
              <w:left w:w="15" w:type="dxa"/>
              <w:right w:w="15" w:type="dxa"/>
            </w:tcMar>
            <w:vAlign w:val="center"/>
          </w:tcPr>
          <w:p w14:paraId="00EE5BB4">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rPr>
            </w:pPr>
          </w:p>
        </w:tc>
        <w:tc>
          <w:tcPr>
            <w:tcW w:w="3993" w:type="dxa"/>
            <w:noWrap w:val="0"/>
            <w:tcMar>
              <w:top w:w="15" w:type="dxa"/>
              <w:left w:w="15" w:type="dxa"/>
              <w:right w:w="15" w:type="dxa"/>
            </w:tcMar>
            <w:vAlign w:val="center"/>
          </w:tcPr>
          <w:p w14:paraId="67D7C0A9">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全社会固定资产投资增速</w:t>
            </w:r>
          </w:p>
        </w:tc>
        <w:tc>
          <w:tcPr>
            <w:tcW w:w="799" w:type="dxa"/>
            <w:noWrap w:val="0"/>
            <w:tcMar>
              <w:top w:w="15" w:type="dxa"/>
              <w:left w:w="15" w:type="dxa"/>
              <w:right w:w="15" w:type="dxa"/>
            </w:tcMar>
            <w:vAlign w:val="center"/>
          </w:tcPr>
          <w:p w14:paraId="3352A56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w:t>
            </w:r>
          </w:p>
        </w:tc>
        <w:tc>
          <w:tcPr>
            <w:tcW w:w="682" w:type="dxa"/>
            <w:noWrap w:val="0"/>
            <w:tcMar>
              <w:top w:w="15" w:type="dxa"/>
              <w:left w:w="15" w:type="dxa"/>
              <w:right w:w="15" w:type="dxa"/>
            </w:tcMar>
            <w:vAlign w:val="center"/>
          </w:tcPr>
          <w:p w14:paraId="5A956E8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7%</w:t>
            </w:r>
          </w:p>
        </w:tc>
        <w:tc>
          <w:tcPr>
            <w:tcW w:w="832" w:type="dxa"/>
            <w:noWrap w:val="0"/>
            <w:tcMar>
              <w:top w:w="15" w:type="dxa"/>
              <w:left w:w="15" w:type="dxa"/>
              <w:right w:w="15" w:type="dxa"/>
            </w:tcMar>
            <w:vAlign w:val="center"/>
          </w:tcPr>
          <w:p w14:paraId="0F6E2E0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3%</w:t>
            </w:r>
          </w:p>
        </w:tc>
        <w:tc>
          <w:tcPr>
            <w:tcW w:w="833" w:type="dxa"/>
            <w:noWrap w:val="0"/>
            <w:tcMar>
              <w:top w:w="15" w:type="dxa"/>
              <w:left w:w="15" w:type="dxa"/>
              <w:right w:w="15" w:type="dxa"/>
            </w:tcMar>
            <w:vAlign w:val="center"/>
          </w:tcPr>
          <w:p w14:paraId="1666146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3.8%</w:t>
            </w:r>
          </w:p>
        </w:tc>
        <w:tc>
          <w:tcPr>
            <w:tcW w:w="799" w:type="dxa"/>
            <w:noWrap w:val="0"/>
            <w:tcMar>
              <w:top w:w="15" w:type="dxa"/>
              <w:left w:w="15" w:type="dxa"/>
              <w:right w:w="15" w:type="dxa"/>
            </w:tcMar>
            <w:vAlign w:val="center"/>
          </w:tcPr>
          <w:p w14:paraId="287B6C5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000000"/>
                <w:kern w:val="0"/>
                <w:sz w:val="24"/>
                <w:szCs w:val="24"/>
                <w:highlight w:val="none"/>
                <w:lang w:val="en-US" w:eastAsia="zh-CN" w:bidi="ar"/>
              </w:rPr>
            </w:pPr>
            <w:r>
              <w:rPr>
                <w:rFonts w:hint="default" w:ascii="Times New Roman" w:hAnsi="Times New Roman" w:eastAsia="宋体" w:cs="Times New Roman"/>
                <w:b w:val="0"/>
                <w:i w:val="0"/>
                <w:color w:val="000000"/>
                <w:kern w:val="0"/>
                <w:sz w:val="24"/>
                <w:szCs w:val="24"/>
                <w:highlight w:val="none"/>
                <w:lang w:val="en-US" w:eastAsia="zh-CN" w:bidi="ar"/>
              </w:rPr>
              <w:t>预期性</w:t>
            </w:r>
          </w:p>
        </w:tc>
        <w:tc>
          <w:tcPr>
            <w:tcW w:w="1031" w:type="dxa"/>
            <w:noWrap w:val="0"/>
            <w:tcMar>
              <w:top w:w="15" w:type="dxa"/>
              <w:left w:w="15" w:type="dxa"/>
              <w:right w:w="15" w:type="dxa"/>
            </w:tcMar>
            <w:vAlign w:val="center"/>
          </w:tcPr>
          <w:p w14:paraId="67787DD4">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r>
              <w:rPr>
                <w:rFonts w:hint="default" w:ascii="Times New Roman" w:hAnsi="Times New Roman" w:eastAsia="宋体" w:cs="Times New Roman"/>
                <w:color w:val="0C0C0C"/>
                <w:sz w:val="21"/>
                <w:szCs w:val="21"/>
                <w:lang w:val="en-US" w:eastAsia="zh-CN" w:bidi="ar"/>
              </w:rPr>
              <w:t>统计口径发生变化</w:t>
            </w:r>
          </w:p>
        </w:tc>
      </w:tr>
      <w:tr w14:paraId="71C2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8" w:type="dxa"/>
            <w:vMerge w:val="continue"/>
            <w:noWrap/>
            <w:tcMar>
              <w:top w:w="15" w:type="dxa"/>
              <w:left w:w="15" w:type="dxa"/>
              <w:right w:w="15" w:type="dxa"/>
            </w:tcMar>
            <w:vAlign w:val="center"/>
          </w:tcPr>
          <w:p w14:paraId="359E5F8C">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rPr>
            </w:pPr>
          </w:p>
        </w:tc>
        <w:tc>
          <w:tcPr>
            <w:tcW w:w="3993" w:type="dxa"/>
            <w:noWrap w:val="0"/>
            <w:tcMar>
              <w:top w:w="15" w:type="dxa"/>
              <w:left w:w="15" w:type="dxa"/>
              <w:right w:w="15" w:type="dxa"/>
            </w:tcMar>
            <w:vAlign w:val="center"/>
          </w:tcPr>
          <w:p w14:paraId="5B0FB97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社会消费品零售总额（亿元）</w:t>
            </w:r>
          </w:p>
        </w:tc>
        <w:tc>
          <w:tcPr>
            <w:tcW w:w="799" w:type="dxa"/>
            <w:noWrap w:val="0"/>
            <w:tcMar>
              <w:top w:w="15" w:type="dxa"/>
              <w:left w:w="15" w:type="dxa"/>
              <w:right w:w="15" w:type="dxa"/>
            </w:tcMar>
            <w:vAlign w:val="center"/>
          </w:tcPr>
          <w:p w14:paraId="19DCD14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290</w:t>
            </w:r>
          </w:p>
        </w:tc>
        <w:tc>
          <w:tcPr>
            <w:tcW w:w="682" w:type="dxa"/>
            <w:noWrap w:val="0"/>
            <w:tcMar>
              <w:top w:w="15" w:type="dxa"/>
              <w:left w:w="15" w:type="dxa"/>
              <w:right w:w="15" w:type="dxa"/>
            </w:tcMar>
            <w:vAlign w:val="center"/>
          </w:tcPr>
          <w:p w14:paraId="3036EFC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8%</w:t>
            </w:r>
          </w:p>
        </w:tc>
        <w:tc>
          <w:tcPr>
            <w:tcW w:w="832" w:type="dxa"/>
            <w:noWrap w:val="0"/>
            <w:tcMar>
              <w:top w:w="15" w:type="dxa"/>
              <w:left w:w="15" w:type="dxa"/>
              <w:right w:w="15" w:type="dxa"/>
            </w:tcMar>
            <w:vAlign w:val="center"/>
          </w:tcPr>
          <w:p w14:paraId="75680A0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269.6</w:t>
            </w:r>
          </w:p>
        </w:tc>
        <w:tc>
          <w:tcPr>
            <w:tcW w:w="833" w:type="dxa"/>
            <w:noWrap w:val="0"/>
            <w:tcMar>
              <w:top w:w="15" w:type="dxa"/>
              <w:left w:w="15" w:type="dxa"/>
              <w:right w:w="15" w:type="dxa"/>
            </w:tcMar>
            <w:vAlign w:val="center"/>
          </w:tcPr>
          <w:p w14:paraId="29369E6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7.1%</w:t>
            </w:r>
          </w:p>
        </w:tc>
        <w:tc>
          <w:tcPr>
            <w:tcW w:w="799" w:type="dxa"/>
            <w:noWrap w:val="0"/>
            <w:tcMar>
              <w:top w:w="15" w:type="dxa"/>
              <w:left w:w="15" w:type="dxa"/>
              <w:right w:w="15" w:type="dxa"/>
            </w:tcMar>
            <w:vAlign w:val="center"/>
          </w:tcPr>
          <w:p w14:paraId="1886C1D3">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000000"/>
                <w:kern w:val="0"/>
                <w:sz w:val="24"/>
                <w:szCs w:val="24"/>
                <w:highlight w:val="none"/>
                <w:lang w:val="en-US" w:eastAsia="zh-CN" w:bidi="ar"/>
              </w:rPr>
            </w:pPr>
            <w:r>
              <w:rPr>
                <w:rFonts w:hint="default" w:ascii="Times New Roman" w:hAnsi="Times New Roman" w:eastAsia="宋体" w:cs="Times New Roman"/>
                <w:color w:val="000000"/>
                <w:sz w:val="24"/>
                <w:szCs w:val="24"/>
                <w:lang w:val="en-US" w:eastAsia="zh-CN" w:bidi="ar"/>
              </w:rPr>
              <w:t>预期性</w:t>
            </w:r>
          </w:p>
        </w:tc>
        <w:tc>
          <w:tcPr>
            <w:tcW w:w="1031" w:type="dxa"/>
            <w:noWrap w:val="0"/>
            <w:tcMar>
              <w:top w:w="15" w:type="dxa"/>
              <w:left w:w="15" w:type="dxa"/>
              <w:right w:w="15" w:type="dxa"/>
            </w:tcMar>
            <w:vAlign w:val="center"/>
          </w:tcPr>
          <w:p w14:paraId="54EAAC4C">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r>
      <w:tr w14:paraId="31B5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8" w:type="dxa"/>
            <w:vMerge w:val="continue"/>
            <w:noWrap/>
            <w:tcMar>
              <w:top w:w="15" w:type="dxa"/>
              <w:left w:w="15" w:type="dxa"/>
              <w:right w:w="15" w:type="dxa"/>
            </w:tcMar>
            <w:vAlign w:val="center"/>
          </w:tcPr>
          <w:p w14:paraId="38563C67">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rPr>
            </w:pPr>
          </w:p>
        </w:tc>
        <w:tc>
          <w:tcPr>
            <w:tcW w:w="3993" w:type="dxa"/>
            <w:noWrap w:val="0"/>
            <w:tcMar>
              <w:top w:w="15" w:type="dxa"/>
              <w:left w:w="15" w:type="dxa"/>
              <w:right w:w="15" w:type="dxa"/>
            </w:tcMar>
            <w:vAlign w:val="center"/>
          </w:tcPr>
          <w:p w14:paraId="11A9DCD9">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规模以上工业增加值增速</w:t>
            </w:r>
            <w:r>
              <w:rPr>
                <w:rFonts w:hint="default" w:ascii="Times New Roman" w:hAnsi="Times New Roman" w:eastAsia="宋体" w:cs="Times New Roman"/>
                <w:b w:val="0"/>
                <w:i w:val="0"/>
                <w:color w:val="auto"/>
                <w:kern w:val="0"/>
                <w:sz w:val="24"/>
                <w:szCs w:val="24"/>
                <w:highlight w:val="none"/>
                <w:lang w:bidi="ar"/>
              </w:rPr>
              <w:t>（%）</w:t>
            </w:r>
          </w:p>
        </w:tc>
        <w:tc>
          <w:tcPr>
            <w:tcW w:w="799" w:type="dxa"/>
            <w:noWrap w:val="0"/>
            <w:tcMar>
              <w:top w:w="15" w:type="dxa"/>
              <w:left w:w="15" w:type="dxa"/>
              <w:right w:w="15" w:type="dxa"/>
            </w:tcMar>
            <w:vAlign w:val="center"/>
          </w:tcPr>
          <w:p w14:paraId="511116C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w:t>
            </w:r>
          </w:p>
        </w:tc>
        <w:tc>
          <w:tcPr>
            <w:tcW w:w="682" w:type="dxa"/>
            <w:noWrap w:val="0"/>
            <w:tcMar>
              <w:top w:w="15" w:type="dxa"/>
              <w:left w:w="15" w:type="dxa"/>
              <w:right w:w="15" w:type="dxa"/>
            </w:tcMar>
            <w:vAlign w:val="center"/>
          </w:tcPr>
          <w:p w14:paraId="56E2B4A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sz w:val="24"/>
                <w:szCs w:val="24"/>
                <w:highlight w:val="none"/>
                <w:lang w:val="en-US" w:eastAsia="zh-CN"/>
              </w:rPr>
              <w:t>6%</w:t>
            </w:r>
          </w:p>
        </w:tc>
        <w:tc>
          <w:tcPr>
            <w:tcW w:w="832" w:type="dxa"/>
            <w:noWrap w:val="0"/>
            <w:tcMar>
              <w:top w:w="15" w:type="dxa"/>
              <w:left w:w="15" w:type="dxa"/>
              <w:right w:w="15" w:type="dxa"/>
            </w:tcMar>
            <w:vAlign w:val="center"/>
          </w:tcPr>
          <w:p w14:paraId="2345E61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8</w:t>
            </w:r>
            <w:r>
              <w:rPr>
                <w:rFonts w:hint="eastAsia" w:eastAsia="宋体" w:cs="Times New Roman"/>
                <w:b w:val="0"/>
                <w:i w:val="0"/>
                <w:color w:val="auto"/>
                <w:kern w:val="0"/>
                <w:sz w:val="24"/>
                <w:szCs w:val="24"/>
                <w:highlight w:val="none"/>
                <w:lang w:val="en-US" w:eastAsia="zh-CN" w:bidi="ar"/>
              </w:rPr>
              <w:t>.3</w:t>
            </w:r>
            <w:r>
              <w:rPr>
                <w:rFonts w:hint="default" w:ascii="Times New Roman" w:hAnsi="Times New Roman" w:eastAsia="宋体" w:cs="Times New Roman"/>
                <w:b w:val="0"/>
                <w:i w:val="0"/>
                <w:color w:val="auto"/>
                <w:kern w:val="0"/>
                <w:sz w:val="24"/>
                <w:szCs w:val="24"/>
                <w:highlight w:val="none"/>
                <w:lang w:val="en-US" w:eastAsia="zh-CN" w:bidi="ar"/>
              </w:rPr>
              <w:t>%</w:t>
            </w:r>
          </w:p>
        </w:tc>
        <w:tc>
          <w:tcPr>
            <w:tcW w:w="833" w:type="dxa"/>
            <w:noWrap w:val="0"/>
            <w:tcMar>
              <w:top w:w="15" w:type="dxa"/>
              <w:left w:w="15" w:type="dxa"/>
              <w:right w:w="15" w:type="dxa"/>
            </w:tcMar>
            <w:vAlign w:val="center"/>
          </w:tcPr>
          <w:p w14:paraId="62F8A8B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2.3%</w:t>
            </w:r>
          </w:p>
        </w:tc>
        <w:tc>
          <w:tcPr>
            <w:tcW w:w="799" w:type="dxa"/>
            <w:noWrap w:val="0"/>
            <w:tcMar>
              <w:top w:w="15" w:type="dxa"/>
              <w:left w:w="15" w:type="dxa"/>
              <w:right w:w="15" w:type="dxa"/>
            </w:tcMar>
            <w:vAlign w:val="center"/>
          </w:tcPr>
          <w:p w14:paraId="39ACC711">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000000"/>
                <w:kern w:val="0"/>
                <w:sz w:val="24"/>
                <w:szCs w:val="24"/>
                <w:highlight w:val="none"/>
                <w:lang w:val="en-US" w:eastAsia="zh-CN" w:bidi="ar"/>
              </w:rPr>
            </w:pPr>
            <w:r>
              <w:rPr>
                <w:rFonts w:hint="default" w:ascii="Times New Roman" w:hAnsi="Times New Roman" w:eastAsia="宋体" w:cs="Times New Roman"/>
                <w:color w:val="000000"/>
                <w:sz w:val="24"/>
                <w:szCs w:val="24"/>
                <w:lang w:val="en-US" w:eastAsia="zh-CN" w:bidi="ar"/>
              </w:rPr>
              <w:t>预期性</w:t>
            </w:r>
          </w:p>
        </w:tc>
        <w:tc>
          <w:tcPr>
            <w:tcW w:w="1031" w:type="dxa"/>
            <w:noWrap w:val="0"/>
            <w:tcMar>
              <w:top w:w="15" w:type="dxa"/>
              <w:left w:w="15" w:type="dxa"/>
              <w:right w:w="15" w:type="dxa"/>
            </w:tcMar>
            <w:vAlign w:val="center"/>
          </w:tcPr>
          <w:p w14:paraId="49C5B405">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r>
      <w:tr w14:paraId="301A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8" w:type="dxa"/>
            <w:vMerge w:val="continue"/>
            <w:noWrap/>
            <w:tcMar>
              <w:top w:w="15" w:type="dxa"/>
              <w:left w:w="15" w:type="dxa"/>
              <w:right w:w="15" w:type="dxa"/>
            </w:tcMar>
            <w:vAlign w:val="center"/>
          </w:tcPr>
          <w:p w14:paraId="600E5663">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rPr>
            </w:pPr>
          </w:p>
        </w:tc>
        <w:tc>
          <w:tcPr>
            <w:tcW w:w="3993" w:type="dxa"/>
            <w:noWrap w:val="0"/>
            <w:tcMar>
              <w:top w:w="15" w:type="dxa"/>
              <w:left w:w="15" w:type="dxa"/>
              <w:right w:w="15" w:type="dxa"/>
            </w:tcMar>
            <w:vAlign w:val="center"/>
          </w:tcPr>
          <w:p w14:paraId="18FC190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服务业增加值占地区生产总值比重（%）</w:t>
            </w:r>
          </w:p>
        </w:tc>
        <w:tc>
          <w:tcPr>
            <w:tcW w:w="799" w:type="dxa"/>
            <w:noWrap w:val="0"/>
            <w:tcMar>
              <w:top w:w="15" w:type="dxa"/>
              <w:left w:w="15" w:type="dxa"/>
              <w:right w:w="15" w:type="dxa"/>
            </w:tcMar>
            <w:vAlign w:val="center"/>
          </w:tcPr>
          <w:p w14:paraId="72BAACA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60</w:t>
            </w:r>
          </w:p>
        </w:tc>
        <w:tc>
          <w:tcPr>
            <w:tcW w:w="682" w:type="dxa"/>
            <w:noWrap w:val="0"/>
            <w:tcMar>
              <w:top w:w="15" w:type="dxa"/>
              <w:left w:w="15" w:type="dxa"/>
              <w:right w:w="15" w:type="dxa"/>
            </w:tcMar>
            <w:vAlign w:val="center"/>
          </w:tcPr>
          <w:p w14:paraId="76B2260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c>
          <w:tcPr>
            <w:tcW w:w="832" w:type="dxa"/>
            <w:noWrap w:val="0"/>
            <w:tcMar>
              <w:top w:w="15" w:type="dxa"/>
              <w:left w:w="15" w:type="dxa"/>
              <w:right w:w="15" w:type="dxa"/>
            </w:tcMar>
            <w:vAlign w:val="center"/>
          </w:tcPr>
          <w:p w14:paraId="28C10A3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eastAsia" w:eastAsia="宋体" w:cs="Times New Roman"/>
                <w:b w:val="0"/>
                <w:i w:val="0"/>
                <w:color w:val="auto"/>
                <w:kern w:val="0"/>
                <w:sz w:val="24"/>
                <w:szCs w:val="24"/>
                <w:highlight w:val="none"/>
                <w:lang w:val="en-US" w:eastAsia="zh-CN" w:bidi="ar"/>
              </w:rPr>
              <w:t>66</w:t>
            </w:r>
          </w:p>
        </w:tc>
        <w:tc>
          <w:tcPr>
            <w:tcW w:w="833" w:type="dxa"/>
            <w:noWrap w:val="0"/>
            <w:tcMar>
              <w:top w:w="15" w:type="dxa"/>
              <w:left w:w="15" w:type="dxa"/>
              <w:right w:w="15" w:type="dxa"/>
            </w:tcMar>
            <w:vAlign w:val="center"/>
          </w:tcPr>
          <w:p w14:paraId="29855E2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w:t>
            </w:r>
          </w:p>
        </w:tc>
        <w:tc>
          <w:tcPr>
            <w:tcW w:w="799" w:type="dxa"/>
            <w:noWrap w:val="0"/>
            <w:tcMar>
              <w:top w:w="15" w:type="dxa"/>
              <w:left w:w="15" w:type="dxa"/>
              <w:right w:w="15" w:type="dxa"/>
            </w:tcMar>
            <w:vAlign w:val="center"/>
          </w:tcPr>
          <w:p w14:paraId="300A0E5D">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000000"/>
                <w:kern w:val="0"/>
                <w:sz w:val="24"/>
                <w:szCs w:val="24"/>
                <w:highlight w:val="none"/>
                <w:lang w:val="en-US" w:eastAsia="zh-CN" w:bidi="ar"/>
              </w:rPr>
            </w:pPr>
            <w:r>
              <w:rPr>
                <w:rFonts w:hint="default" w:ascii="Times New Roman" w:hAnsi="Times New Roman" w:eastAsia="宋体" w:cs="Times New Roman"/>
                <w:color w:val="000000"/>
                <w:sz w:val="24"/>
                <w:szCs w:val="24"/>
                <w:lang w:val="en-US" w:eastAsia="zh-CN" w:bidi="ar"/>
              </w:rPr>
              <w:t>预期性</w:t>
            </w:r>
          </w:p>
        </w:tc>
        <w:tc>
          <w:tcPr>
            <w:tcW w:w="1031" w:type="dxa"/>
            <w:noWrap w:val="0"/>
            <w:tcMar>
              <w:top w:w="15" w:type="dxa"/>
              <w:left w:w="15" w:type="dxa"/>
              <w:right w:w="15" w:type="dxa"/>
            </w:tcMar>
            <w:vAlign w:val="center"/>
          </w:tcPr>
          <w:p w14:paraId="11C934D0">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r>
      <w:tr w14:paraId="1765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8" w:type="dxa"/>
            <w:vMerge w:val="restart"/>
            <w:noWrap/>
            <w:tcMar>
              <w:top w:w="15" w:type="dxa"/>
              <w:left w:w="15" w:type="dxa"/>
              <w:right w:w="15" w:type="dxa"/>
            </w:tcMar>
            <w:vAlign w:val="center"/>
          </w:tcPr>
          <w:p w14:paraId="4082C951">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创新驱动</w:t>
            </w:r>
          </w:p>
        </w:tc>
        <w:tc>
          <w:tcPr>
            <w:tcW w:w="3993" w:type="dxa"/>
            <w:noWrap w:val="0"/>
            <w:tcMar>
              <w:top w:w="15" w:type="dxa"/>
              <w:left w:w="15" w:type="dxa"/>
              <w:right w:w="15" w:type="dxa"/>
            </w:tcMar>
            <w:vAlign w:val="center"/>
          </w:tcPr>
          <w:p w14:paraId="2ED0994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0"/>
                <w:sz w:val="24"/>
                <w:szCs w:val="24"/>
                <w:highlight w:val="none"/>
                <w:lang w:val="en-US" w:eastAsia="zh-CN" w:bidi="ar"/>
              </w:rPr>
              <w:t>研发经费投入增长</w:t>
            </w:r>
          </w:p>
        </w:tc>
        <w:tc>
          <w:tcPr>
            <w:tcW w:w="799" w:type="dxa"/>
            <w:noWrap w:val="0"/>
            <w:tcMar>
              <w:top w:w="15" w:type="dxa"/>
              <w:left w:w="15" w:type="dxa"/>
              <w:right w:w="15" w:type="dxa"/>
            </w:tcMar>
            <w:vAlign w:val="center"/>
          </w:tcPr>
          <w:p w14:paraId="2A66D4C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w:t>
            </w:r>
          </w:p>
        </w:tc>
        <w:tc>
          <w:tcPr>
            <w:tcW w:w="682" w:type="dxa"/>
            <w:noWrap w:val="0"/>
            <w:tcMar>
              <w:top w:w="15" w:type="dxa"/>
              <w:left w:w="15" w:type="dxa"/>
              <w:right w:w="15" w:type="dxa"/>
            </w:tcMar>
            <w:vAlign w:val="center"/>
          </w:tcPr>
          <w:p w14:paraId="4C4E657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4%</w:t>
            </w:r>
          </w:p>
        </w:tc>
        <w:tc>
          <w:tcPr>
            <w:tcW w:w="832" w:type="dxa"/>
            <w:noWrap w:val="0"/>
            <w:tcMar>
              <w:top w:w="15" w:type="dxa"/>
              <w:left w:w="15" w:type="dxa"/>
              <w:right w:w="15" w:type="dxa"/>
            </w:tcMar>
            <w:vAlign w:val="center"/>
          </w:tcPr>
          <w:p w14:paraId="6059823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15.8%</w:t>
            </w:r>
          </w:p>
        </w:tc>
        <w:tc>
          <w:tcPr>
            <w:tcW w:w="833" w:type="dxa"/>
            <w:noWrap w:val="0"/>
            <w:tcMar>
              <w:top w:w="15" w:type="dxa"/>
              <w:left w:w="15" w:type="dxa"/>
              <w:right w:w="15" w:type="dxa"/>
            </w:tcMar>
            <w:vAlign w:val="center"/>
          </w:tcPr>
          <w:p w14:paraId="189D1F3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28%</w:t>
            </w:r>
          </w:p>
        </w:tc>
        <w:tc>
          <w:tcPr>
            <w:tcW w:w="799" w:type="dxa"/>
            <w:noWrap w:val="0"/>
            <w:tcMar>
              <w:top w:w="15" w:type="dxa"/>
              <w:left w:w="15" w:type="dxa"/>
              <w:right w:w="15" w:type="dxa"/>
            </w:tcMar>
            <w:vAlign w:val="center"/>
          </w:tcPr>
          <w:p w14:paraId="3897945D">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i w:val="0"/>
                <w:iCs w:val="0"/>
                <w:color w:val="0C0C0C"/>
                <w:kern w:val="0"/>
                <w:sz w:val="24"/>
                <w:szCs w:val="24"/>
                <w:u w:val="none"/>
                <w:lang w:val="en-US" w:eastAsia="zh-CN" w:bidi="ar"/>
              </w:rPr>
              <w:t>预期性</w:t>
            </w:r>
          </w:p>
        </w:tc>
        <w:tc>
          <w:tcPr>
            <w:tcW w:w="1031" w:type="dxa"/>
            <w:noWrap w:val="0"/>
            <w:tcMar>
              <w:top w:w="15" w:type="dxa"/>
              <w:left w:w="15" w:type="dxa"/>
              <w:right w:w="15" w:type="dxa"/>
            </w:tcMar>
            <w:vAlign w:val="center"/>
          </w:tcPr>
          <w:p w14:paraId="7A192A94">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0"/>
                <w:sz w:val="24"/>
                <w:szCs w:val="24"/>
                <w:u w:val="none"/>
                <w:lang w:val="en-US" w:eastAsia="zh-CN" w:bidi="ar"/>
              </w:rPr>
            </w:pPr>
          </w:p>
        </w:tc>
      </w:tr>
      <w:tr w14:paraId="69FE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2" w:hRule="atLeast"/>
          <w:jc w:val="center"/>
        </w:trPr>
        <w:tc>
          <w:tcPr>
            <w:tcW w:w="528" w:type="dxa"/>
            <w:vMerge w:val="continue"/>
            <w:noWrap/>
            <w:tcMar>
              <w:top w:w="15" w:type="dxa"/>
              <w:left w:w="15" w:type="dxa"/>
              <w:right w:w="15" w:type="dxa"/>
            </w:tcMar>
            <w:vAlign w:val="center"/>
          </w:tcPr>
          <w:p w14:paraId="06A7F7C1">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470F5347">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left"/>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0"/>
                <w:sz w:val="24"/>
                <w:szCs w:val="24"/>
                <w:highlight w:val="none"/>
                <w:lang w:val="en-US" w:eastAsia="zh-CN" w:bidi="ar"/>
              </w:rPr>
              <w:t>规模以上工业企业中有研发活动企业占比</w:t>
            </w:r>
            <w:r>
              <w:rPr>
                <w:rFonts w:hint="default" w:ascii="Times New Roman" w:hAnsi="Times New Roman" w:eastAsia="宋体" w:cs="Times New Roman"/>
                <w:b w:val="0"/>
                <w:i w:val="0"/>
                <w:color w:val="auto"/>
                <w:kern w:val="0"/>
                <w:sz w:val="24"/>
                <w:szCs w:val="24"/>
                <w:highlight w:val="none"/>
                <w:lang w:bidi="ar"/>
              </w:rPr>
              <w:t>（%）</w:t>
            </w:r>
          </w:p>
        </w:tc>
        <w:tc>
          <w:tcPr>
            <w:tcW w:w="799" w:type="dxa"/>
            <w:noWrap w:val="0"/>
            <w:tcMar>
              <w:top w:w="15" w:type="dxa"/>
              <w:left w:w="15" w:type="dxa"/>
              <w:right w:w="15" w:type="dxa"/>
            </w:tcMar>
            <w:vAlign w:val="center"/>
          </w:tcPr>
          <w:p w14:paraId="07E3AA0D">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25</w:t>
            </w:r>
          </w:p>
        </w:tc>
        <w:tc>
          <w:tcPr>
            <w:tcW w:w="682" w:type="dxa"/>
            <w:noWrap w:val="0"/>
            <w:tcMar>
              <w:top w:w="15" w:type="dxa"/>
              <w:left w:w="15" w:type="dxa"/>
              <w:right w:w="15" w:type="dxa"/>
            </w:tcMar>
            <w:vAlign w:val="center"/>
          </w:tcPr>
          <w:p w14:paraId="022667B7">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sz w:val="24"/>
                <w:szCs w:val="24"/>
                <w:highlight w:val="none"/>
                <w:lang w:val="en-US" w:eastAsia="zh-CN"/>
              </w:rPr>
              <w:t>-</w:t>
            </w:r>
          </w:p>
        </w:tc>
        <w:tc>
          <w:tcPr>
            <w:tcW w:w="832" w:type="dxa"/>
            <w:noWrap w:val="0"/>
            <w:tcMar>
              <w:top w:w="15" w:type="dxa"/>
              <w:left w:w="15" w:type="dxa"/>
              <w:right w:w="15" w:type="dxa"/>
            </w:tcMar>
            <w:vAlign w:val="center"/>
          </w:tcPr>
          <w:p w14:paraId="5352CBE1">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25</w:t>
            </w:r>
          </w:p>
        </w:tc>
        <w:tc>
          <w:tcPr>
            <w:tcW w:w="833" w:type="dxa"/>
            <w:noWrap w:val="0"/>
            <w:tcMar>
              <w:top w:w="15" w:type="dxa"/>
              <w:left w:w="15" w:type="dxa"/>
              <w:right w:w="15" w:type="dxa"/>
            </w:tcMar>
            <w:vAlign w:val="center"/>
          </w:tcPr>
          <w:p w14:paraId="0A06BCE6">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w:t>
            </w:r>
          </w:p>
        </w:tc>
        <w:tc>
          <w:tcPr>
            <w:tcW w:w="799" w:type="dxa"/>
            <w:noWrap w:val="0"/>
            <w:tcMar>
              <w:top w:w="15" w:type="dxa"/>
              <w:left w:w="15" w:type="dxa"/>
              <w:right w:w="15" w:type="dxa"/>
            </w:tcMar>
            <w:vAlign w:val="center"/>
          </w:tcPr>
          <w:p w14:paraId="0079EE69">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预期性</w:t>
            </w:r>
          </w:p>
        </w:tc>
        <w:tc>
          <w:tcPr>
            <w:tcW w:w="1031" w:type="dxa"/>
            <w:noWrap w:val="0"/>
            <w:tcMar>
              <w:top w:w="15" w:type="dxa"/>
              <w:left w:w="15" w:type="dxa"/>
              <w:right w:w="15" w:type="dxa"/>
            </w:tcMar>
            <w:vAlign w:val="center"/>
          </w:tcPr>
          <w:p w14:paraId="595BCB67">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Times New Roman"/>
                <w:i w:val="0"/>
                <w:iCs w:val="0"/>
                <w:color w:val="0C0C0C"/>
                <w:kern w:val="0"/>
                <w:sz w:val="24"/>
                <w:szCs w:val="24"/>
                <w:u w:val="none"/>
                <w:lang w:val="en-US" w:eastAsia="zh-CN" w:bidi="ar"/>
              </w:rPr>
            </w:pPr>
          </w:p>
        </w:tc>
      </w:tr>
      <w:tr w14:paraId="31F8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5" w:hRule="atLeast"/>
          <w:jc w:val="center"/>
        </w:trPr>
        <w:tc>
          <w:tcPr>
            <w:tcW w:w="528" w:type="dxa"/>
            <w:vMerge w:val="continue"/>
            <w:noWrap/>
            <w:tcMar>
              <w:top w:w="15" w:type="dxa"/>
              <w:left w:w="15" w:type="dxa"/>
              <w:right w:w="15" w:type="dxa"/>
            </w:tcMar>
            <w:vAlign w:val="center"/>
          </w:tcPr>
          <w:p w14:paraId="3903D055">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03676ED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规模以上工业战略性新兴产业总产值占工业总产值比重（%）</w:t>
            </w:r>
          </w:p>
        </w:tc>
        <w:tc>
          <w:tcPr>
            <w:tcW w:w="799" w:type="dxa"/>
            <w:noWrap w:val="0"/>
            <w:tcMar>
              <w:top w:w="15" w:type="dxa"/>
              <w:left w:w="15" w:type="dxa"/>
              <w:right w:w="15" w:type="dxa"/>
            </w:tcMar>
            <w:vAlign w:val="center"/>
          </w:tcPr>
          <w:p w14:paraId="6E9359A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eastAsia" w:eastAsia="宋体" w:cs="Times New Roman"/>
                <w:b w:val="0"/>
                <w:i w:val="0"/>
                <w:color w:val="auto"/>
                <w:kern w:val="0"/>
                <w:sz w:val="24"/>
                <w:szCs w:val="24"/>
                <w:highlight w:val="none"/>
                <w:lang w:val="en-US" w:eastAsia="zh-CN" w:bidi="ar"/>
              </w:rPr>
              <w:t>25</w:t>
            </w:r>
          </w:p>
        </w:tc>
        <w:tc>
          <w:tcPr>
            <w:tcW w:w="682" w:type="dxa"/>
            <w:noWrap w:val="0"/>
            <w:tcMar>
              <w:top w:w="15" w:type="dxa"/>
              <w:left w:w="15" w:type="dxa"/>
              <w:right w:w="15" w:type="dxa"/>
            </w:tcMar>
            <w:vAlign w:val="center"/>
          </w:tcPr>
          <w:p w14:paraId="75BA074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eastAsia" w:eastAsia="宋体" w:cs="Times New Roman"/>
                <w:b w:val="0"/>
                <w:i w:val="0"/>
                <w:color w:val="auto"/>
                <w:kern w:val="0"/>
                <w:sz w:val="24"/>
                <w:szCs w:val="24"/>
                <w:highlight w:val="none"/>
                <w:lang w:val="en-US" w:eastAsia="zh-CN" w:bidi="ar"/>
              </w:rPr>
              <w:t>-</w:t>
            </w:r>
          </w:p>
        </w:tc>
        <w:tc>
          <w:tcPr>
            <w:tcW w:w="832" w:type="dxa"/>
            <w:noWrap w:val="0"/>
            <w:tcMar>
              <w:top w:w="15" w:type="dxa"/>
              <w:left w:w="15" w:type="dxa"/>
              <w:right w:w="15" w:type="dxa"/>
            </w:tcMar>
            <w:vAlign w:val="center"/>
          </w:tcPr>
          <w:p w14:paraId="2F1A085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28.5</w:t>
            </w:r>
            <w:r>
              <w:rPr>
                <w:rFonts w:hint="eastAsia" w:eastAsia="宋体" w:cs="Times New Roman"/>
                <w:b w:val="0"/>
                <w:i w:val="0"/>
                <w:color w:val="auto"/>
                <w:kern w:val="0"/>
                <w:sz w:val="24"/>
                <w:szCs w:val="24"/>
                <w:highlight w:val="none"/>
                <w:lang w:val="en-US" w:eastAsia="zh-CN" w:bidi="ar"/>
              </w:rPr>
              <w:t>#</w:t>
            </w:r>
          </w:p>
        </w:tc>
        <w:tc>
          <w:tcPr>
            <w:tcW w:w="833" w:type="dxa"/>
            <w:noWrap w:val="0"/>
            <w:tcMar>
              <w:top w:w="15" w:type="dxa"/>
              <w:left w:w="15" w:type="dxa"/>
              <w:right w:w="15" w:type="dxa"/>
            </w:tcMar>
            <w:vAlign w:val="center"/>
          </w:tcPr>
          <w:p w14:paraId="17B295AE">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w:t>
            </w:r>
          </w:p>
        </w:tc>
        <w:tc>
          <w:tcPr>
            <w:tcW w:w="799" w:type="dxa"/>
            <w:noWrap w:val="0"/>
            <w:tcMar>
              <w:top w:w="15" w:type="dxa"/>
              <w:left w:w="15" w:type="dxa"/>
              <w:right w:w="15" w:type="dxa"/>
            </w:tcMar>
            <w:vAlign w:val="center"/>
          </w:tcPr>
          <w:p w14:paraId="1C2E679B">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i w:val="0"/>
                <w:iCs w:val="0"/>
                <w:color w:val="0C0C0C"/>
                <w:kern w:val="0"/>
                <w:sz w:val="24"/>
                <w:szCs w:val="24"/>
                <w:u w:val="none"/>
                <w:lang w:val="en-US" w:eastAsia="zh-CN" w:bidi="ar"/>
              </w:rPr>
              <w:t>预期性</w:t>
            </w:r>
          </w:p>
        </w:tc>
        <w:tc>
          <w:tcPr>
            <w:tcW w:w="1031" w:type="dxa"/>
            <w:noWrap w:val="0"/>
            <w:tcMar>
              <w:top w:w="15" w:type="dxa"/>
              <w:left w:w="15" w:type="dxa"/>
              <w:right w:w="15" w:type="dxa"/>
            </w:tcMar>
            <w:vAlign w:val="center"/>
          </w:tcPr>
          <w:p w14:paraId="54813071">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0"/>
                <w:sz w:val="24"/>
                <w:szCs w:val="24"/>
                <w:u w:val="none"/>
                <w:lang w:val="en-US" w:eastAsia="zh-CN" w:bidi="ar"/>
              </w:rPr>
            </w:pPr>
          </w:p>
        </w:tc>
      </w:tr>
      <w:tr w14:paraId="06CA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7" w:hRule="atLeast"/>
          <w:jc w:val="center"/>
        </w:trPr>
        <w:tc>
          <w:tcPr>
            <w:tcW w:w="528" w:type="dxa"/>
            <w:vMerge w:val="continue"/>
            <w:noWrap/>
            <w:tcMar>
              <w:top w:w="15" w:type="dxa"/>
              <w:left w:w="15" w:type="dxa"/>
              <w:right w:w="15" w:type="dxa"/>
            </w:tcMar>
            <w:vAlign w:val="center"/>
          </w:tcPr>
          <w:p w14:paraId="77704EC2">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6E93E9C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每万人口有效发明专利拥有量（件）</w:t>
            </w:r>
          </w:p>
        </w:tc>
        <w:tc>
          <w:tcPr>
            <w:tcW w:w="799" w:type="dxa"/>
            <w:noWrap w:val="0"/>
            <w:tcMar>
              <w:top w:w="15" w:type="dxa"/>
              <w:left w:w="15" w:type="dxa"/>
              <w:right w:w="15" w:type="dxa"/>
            </w:tcMar>
            <w:vAlign w:val="center"/>
          </w:tcPr>
          <w:p w14:paraId="075FD0D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6</w:t>
            </w:r>
          </w:p>
        </w:tc>
        <w:tc>
          <w:tcPr>
            <w:tcW w:w="682" w:type="dxa"/>
            <w:noWrap w:val="0"/>
            <w:tcMar>
              <w:top w:w="15" w:type="dxa"/>
              <w:left w:w="15" w:type="dxa"/>
              <w:right w:w="15" w:type="dxa"/>
            </w:tcMar>
            <w:vAlign w:val="center"/>
          </w:tcPr>
          <w:p w14:paraId="0FE7764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sz w:val="24"/>
                <w:szCs w:val="24"/>
                <w:highlight w:val="none"/>
                <w:lang w:val="en-US" w:eastAsia="zh-CN"/>
              </w:rPr>
              <w:t>-</w:t>
            </w:r>
          </w:p>
        </w:tc>
        <w:tc>
          <w:tcPr>
            <w:tcW w:w="832" w:type="dxa"/>
            <w:noWrap w:val="0"/>
            <w:tcMar>
              <w:top w:w="15" w:type="dxa"/>
              <w:left w:w="15" w:type="dxa"/>
              <w:right w:w="15" w:type="dxa"/>
            </w:tcMar>
            <w:vAlign w:val="center"/>
          </w:tcPr>
          <w:p w14:paraId="1CFB035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11.8</w:t>
            </w:r>
          </w:p>
        </w:tc>
        <w:tc>
          <w:tcPr>
            <w:tcW w:w="833" w:type="dxa"/>
            <w:noWrap w:val="0"/>
            <w:tcMar>
              <w:top w:w="15" w:type="dxa"/>
              <w:left w:w="15" w:type="dxa"/>
              <w:right w:w="15" w:type="dxa"/>
            </w:tcMar>
            <w:vAlign w:val="center"/>
          </w:tcPr>
          <w:p w14:paraId="6FF60EBE">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lang w:val="en-US" w:eastAsia="zh-CN" w:bidi="ar-SA"/>
              </w:rPr>
            </w:pPr>
            <w:r>
              <w:rPr>
                <w:rFonts w:hint="default" w:ascii="Times New Roman" w:hAnsi="Times New Roman" w:eastAsia="宋体" w:cs="Times New Roman"/>
                <w:b w:val="0"/>
                <w:i w:val="0"/>
                <w:color w:val="auto"/>
                <w:kern w:val="2"/>
                <w:sz w:val="24"/>
                <w:szCs w:val="24"/>
                <w:lang w:val="en-US" w:eastAsia="zh-CN" w:bidi="ar-SA"/>
              </w:rPr>
              <w:t>-</w:t>
            </w:r>
          </w:p>
        </w:tc>
        <w:tc>
          <w:tcPr>
            <w:tcW w:w="799" w:type="dxa"/>
            <w:noWrap w:val="0"/>
            <w:tcMar>
              <w:top w:w="15" w:type="dxa"/>
              <w:left w:w="15" w:type="dxa"/>
              <w:right w:w="15" w:type="dxa"/>
            </w:tcMar>
            <w:vAlign w:val="center"/>
          </w:tcPr>
          <w:p w14:paraId="29BC24FC">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color w:val="0C0C0C"/>
                <w:sz w:val="24"/>
                <w:szCs w:val="24"/>
                <w:lang w:val="en-US" w:eastAsia="zh-CN" w:bidi="ar"/>
              </w:rPr>
              <w:t>预期性</w:t>
            </w:r>
          </w:p>
        </w:tc>
        <w:tc>
          <w:tcPr>
            <w:tcW w:w="1031" w:type="dxa"/>
            <w:noWrap w:val="0"/>
            <w:tcMar>
              <w:top w:w="15" w:type="dxa"/>
              <w:left w:w="15" w:type="dxa"/>
              <w:right w:w="15" w:type="dxa"/>
            </w:tcMar>
            <w:vAlign w:val="center"/>
          </w:tcPr>
          <w:p w14:paraId="55D711E5">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r>
      <w:tr w14:paraId="570F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528" w:type="dxa"/>
            <w:vMerge w:val="restart"/>
            <w:noWrap w:val="0"/>
            <w:tcMar>
              <w:top w:w="15" w:type="dxa"/>
              <w:left w:w="15" w:type="dxa"/>
              <w:right w:w="15" w:type="dxa"/>
            </w:tcMar>
            <w:vAlign w:val="center"/>
          </w:tcPr>
          <w:p w14:paraId="442ED72F">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质量安全</w:t>
            </w:r>
          </w:p>
        </w:tc>
        <w:tc>
          <w:tcPr>
            <w:tcW w:w="3993" w:type="dxa"/>
            <w:noWrap w:val="0"/>
            <w:tcMar>
              <w:top w:w="15" w:type="dxa"/>
              <w:left w:w="15" w:type="dxa"/>
              <w:right w:w="15" w:type="dxa"/>
            </w:tcMar>
            <w:vAlign w:val="center"/>
          </w:tcPr>
          <w:p w14:paraId="60EE137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全员劳动生产率增长</w:t>
            </w:r>
          </w:p>
        </w:tc>
        <w:tc>
          <w:tcPr>
            <w:tcW w:w="799" w:type="dxa"/>
            <w:noWrap w:val="0"/>
            <w:tcMar>
              <w:top w:w="15" w:type="dxa"/>
              <w:left w:w="15" w:type="dxa"/>
              <w:right w:w="15" w:type="dxa"/>
            </w:tcMar>
            <w:vAlign w:val="center"/>
          </w:tcPr>
          <w:p w14:paraId="0BE588B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rtl w:val="0"/>
                <w:lang w:val="en-US" w:eastAsia="zh-CN"/>
              </w:rPr>
            </w:pPr>
            <w:r>
              <w:rPr>
                <w:rFonts w:hint="default" w:ascii="Times New Roman" w:hAnsi="Times New Roman" w:eastAsia="宋体" w:cs="Times New Roman"/>
                <w:b w:val="0"/>
                <w:i w:val="0"/>
                <w:color w:val="auto"/>
                <w:sz w:val="24"/>
                <w:szCs w:val="24"/>
                <w:rtl w:val="0"/>
                <w:lang w:val="en-US" w:eastAsia="zh-CN"/>
              </w:rPr>
              <w:t>-</w:t>
            </w:r>
          </w:p>
        </w:tc>
        <w:tc>
          <w:tcPr>
            <w:tcW w:w="682" w:type="dxa"/>
            <w:noWrap w:val="0"/>
            <w:tcMar>
              <w:top w:w="15" w:type="dxa"/>
              <w:left w:w="15" w:type="dxa"/>
              <w:right w:w="15" w:type="dxa"/>
            </w:tcMar>
            <w:vAlign w:val="center"/>
          </w:tcPr>
          <w:p w14:paraId="17D57D7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sz w:val="24"/>
                <w:szCs w:val="24"/>
                <w:rtl w:val="0"/>
                <w:lang w:val="en-US" w:eastAsia="zh-CN"/>
              </w:rPr>
              <w:t>6.5%</w:t>
            </w:r>
          </w:p>
        </w:tc>
        <w:tc>
          <w:tcPr>
            <w:tcW w:w="832" w:type="dxa"/>
            <w:noWrap w:val="0"/>
            <w:tcMar>
              <w:top w:w="15" w:type="dxa"/>
              <w:left w:w="15" w:type="dxa"/>
              <w:right w:w="15" w:type="dxa"/>
            </w:tcMar>
            <w:vAlign w:val="center"/>
          </w:tcPr>
          <w:p w14:paraId="34BD48B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eastAsia" w:eastAsia="宋体" w:cs="Times New Roman"/>
                <w:b w:val="0"/>
                <w:i w:val="0"/>
                <w:color w:val="auto"/>
                <w:kern w:val="2"/>
                <w:sz w:val="24"/>
                <w:szCs w:val="24"/>
                <w:highlight w:val="none"/>
                <w:lang w:val="en-US" w:eastAsia="zh-CN" w:bidi="ar-SA"/>
              </w:rPr>
              <w:t>-</w:t>
            </w:r>
          </w:p>
        </w:tc>
        <w:tc>
          <w:tcPr>
            <w:tcW w:w="833" w:type="dxa"/>
            <w:noWrap w:val="0"/>
            <w:tcMar>
              <w:top w:w="15" w:type="dxa"/>
              <w:left w:w="15" w:type="dxa"/>
              <w:right w:w="15" w:type="dxa"/>
            </w:tcMar>
            <w:vAlign w:val="center"/>
          </w:tcPr>
          <w:p w14:paraId="05E7FC97">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5.9%</w:t>
            </w:r>
            <w:r>
              <w:rPr>
                <w:rFonts w:hint="eastAsia" w:eastAsia="宋体" w:cs="Times New Roman"/>
                <w:b w:val="0"/>
                <w:i w:val="0"/>
                <w:color w:val="auto"/>
                <w:kern w:val="2"/>
                <w:sz w:val="24"/>
                <w:szCs w:val="24"/>
                <w:highlight w:val="none"/>
                <w:lang w:val="en-US" w:eastAsia="zh-CN" w:bidi="ar-SA"/>
              </w:rPr>
              <w:t>#</w:t>
            </w:r>
          </w:p>
        </w:tc>
        <w:tc>
          <w:tcPr>
            <w:tcW w:w="799" w:type="dxa"/>
            <w:noWrap w:val="0"/>
            <w:tcMar>
              <w:top w:w="15" w:type="dxa"/>
              <w:left w:w="15" w:type="dxa"/>
              <w:right w:w="15" w:type="dxa"/>
            </w:tcMar>
            <w:vAlign w:val="center"/>
          </w:tcPr>
          <w:p w14:paraId="184298BA">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i w:val="0"/>
                <w:iCs w:val="0"/>
                <w:color w:val="0C0C0C"/>
                <w:kern w:val="0"/>
                <w:sz w:val="24"/>
                <w:szCs w:val="24"/>
                <w:u w:val="none"/>
                <w:lang w:val="en-US" w:eastAsia="zh-CN" w:bidi="ar"/>
              </w:rPr>
              <w:t>预期性</w:t>
            </w:r>
          </w:p>
        </w:tc>
        <w:tc>
          <w:tcPr>
            <w:tcW w:w="1031" w:type="dxa"/>
            <w:noWrap w:val="0"/>
            <w:tcMar>
              <w:top w:w="15" w:type="dxa"/>
              <w:left w:w="15" w:type="dxa"/>
              <w:right w:w="15" w:type="dxa"/>
            </w:tcMar>
            <w:vAlign w:val="center"/>
          </w:tcPr>
          <w:p w14:paraId="7EF2F892">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0"/>
                <w:sz w:val="24"/>
                <w:szCs w:val="24"/>
                <w:u w:val="none"/>
                <w:lang w:val="en-US" w:eastAsia="zh-CN" w:bidi="ar"/>
              </w:rPr>
            </w:pPr>
          </w:p>
        </w:tc>
      </w:tr>
      <w:tr w14:paraId="049D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8" w:type="dxa"/>
            <w:vMerge w:val="continue"/>
            <w:noWrap w:val="0"/>
            <w:tcMar>
              <w:top w:w="15" w:type="dxa"/>
              <w:left w:w="15" w:type="dxa"/>
              <w:right w:w="15" w:type="dxa"/>
            </w:tcMar>
            <w:vAlign w:val="center"/>
          </w:tcPr>
          <w:p w14:paraId="599E7CBC">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6C1BE74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sz w:val="24"/>
                <w:szCs w:val="24"/>
                <w:highlight w:val="none"/>
              </w:rPr>
            </w:pPr>
            <w:r>
              <w:rPr>
                <w:rFonts w:hint="default" w:ascii="Times New Roman" w:hAnsi="Times New Roman" w:eastAsia="宋体" w:cs="Times New Roman"/>
                <w:b w:val="0"/>
                <w:i w:val="0"/>
                <w:color w:val="auto"/>
                <w:kern w:val="0"/>
                <w:sz w:val="24"/>
                <w:szCs w:val="24"/>
                <w:highlight w:val="none"/>
                <w:lang w:val="en-US" w:eastAsia="zh-CN" w:bidi="ar"/>
              </w:rPr>
              <w:t>地方财政</w:t>
            </w:r>
            <w:r>
              <w:rPr>
                <w:rFonts w:hint="default" w:ascii="Times New Roman" w:hAnsi="Times New Roman" w:eastAsia="宋体" w:cs="Times New Roman"/>
                <w:b w:val="0"/>
                <w:i w:val="0"/>
                <w:color w:val="auto"/>
                <w:kern w:val="0"/>
                <w:sz w:val="24"/>
                <w:szCs w:val="24"/>
                <w:highlight w:val="none"/>
                <w:lang w:bidi="ar"/>
              </w:rPr>
              <w:t>收入</w:t>
            </w:r>
            <w:r>
              <w:rPr>
                <w:rFonts w:hint="default" w:ascii="Times New Roman" w:hAnsi="Times New Roman" w:eastAsia="宋体" w:cs="Times New Roman"/>
                <w:b w:val="0"/>
                <w:i w:val="0"/>
                <w:color w:val="auto"/>
                <w:sz w:val="24"/>
                <w:szCs w:val="24"/>
                <w:highlight w:val="none"/>
                <w:lang w:bidi="ar"/>
              </w:rPr>
              <w:t>（</w:t>
            </w:r>
            <w:r>
              <w:rPr>
                <w:rFonts w:hint="default" w:ascii="Times New Roman" w:hAnsi="Times New Roman" w:eastAsia="宋体" w:cs="Times New Roman"/>
                <w:b w:val="0"/>
                <w:i w:val="0"/>
                <w:color w:val="auto"/>
                <w:sz w:val="24"/>
                <w:szCs w:val="24"/>
                <w:highlight w:val="none"/>
                <w:lang w:val="en-US" w:eastAsia="zh-CN" w:bidi="ar"/>
              </w:rPr>
              <w:t>亿</w:t>
            </w:r>
            <w:r>
              <w:rPr>
                <w:rFonts w:hint="default" w:ascii="Times New Roman" w:hAnsi="Times New Roman" w:eastAsia="宋体" w:cs="Times New Roman"/>
                <w:b w:val="0"/>
                <w:i w:val="0"/>
                <w:color w:val="auto"/>
                <w:sz w:val="24"/>
                <w:szCs w:val="24"/>
                <w:highlight w:val="none"/>
                <w:lang w:bidi="ar"/>
              </w:rPr>
              <w:t>元）</w:t>
            </w:r>
          </w:p>
        </w:tc>
        <w:tc>
          <w:tcPr>
            <w:tcW w:w="799" w:type="dxa"/>
            <w:noWrap w:val="0"/>
            <w:tcMar>
              <w:top w:w="15" w:type="dxa"/>
              <w:left w:w="15" w:type="dxa"/>
              <w:right w:w="15" w:type="dxa"/>
            </w:tcMar>
            <w:vAlign w:val="center"/>
          </w:tcPr>
          <w:p w14:paraId="7BA55D7E">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14.85</w:t>
            </w:r>
          </w:p>
        </w:tc>
        <w:tc>
          <w:tcPr>
            <w:tcW w:w="682" w:type="dxa"/>
            <w:noWrap w:val="0"/>
            <w:tcMar>
              <w:top w:w="15" w:type="dxa"/>
              <w:left w:w="15" w:type="dxa"/>
              <w:right w:w="15" w:type="dxa"/>
            </w:tcMar>
            <w:vAlign w:val="center"/>
          </w:tcPr>
          <w:p w14:paraId="576BE73E">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5%</w:t>
            </w:r>
          </w:p>
        </w:tc>
        <w:tc>
          <w:tcPr>
            <w:tcW w:w="832" w:type="dxa"/>
            <w:noWrap w:val="0"/>
            <w:tcMar>
              <w:top w:w="15" w:type="dxa"/>
              <w:left w:w="15" w:type="dxa"/>
              <w:right w:w="15" w:type="dxa"/>
            </w:tcMar>
            <w:vAlign w:val="center"/>
          </w:tcPr>
          <w:p w14:paraId="5E8A3FB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eastAsia" w:eastAsia="宋体" w:cs="Times New Roman"/>
                <w:b w:val="0"/>
                <w:i w:val="0"/>
                <w:color w:val="auto"/>
                <w:kern w:val="2"/>
                <w:sz w:val="24"/>
                <w:szCs w:val="24"/>
                <w:highlight w:val="none"/>
                <w:lang w:val="en-US" w:eastAsia="zh-CN" w:bidi="ar-SA"/>
              </w:rPr>
              <w:t>10</w:t>
            </w:r>
          </w:p>
        </w:tc>
        <w:tc>
          <w:tcPr>
            <w:tcW w:w="833" w:type="dxa"/>
            <w:noWrap w:val="0"/>
            <w:tcMar>
              <w:top w:w="15" w:type="dxa"/>
              <w:left w:w="15" w:type="dxa"/>
              <w:right w:w="15" w:type="dxa"/>
            </w:tcMar>
            <w:vAlign w:val="center"/>
          </w:tcPr>
          <w:p w14:paraId="66C24E2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w:t>
            </w:r>
          </w:p>
        </w:tc>
        <w:tc>
          <w:tcPr>
            <w:tcW w:w="799" w:type="dxa"/>
            <w:noWrap w:val="0"/>
            <w:tcMar>
              <w:top w:w="15" w:type="dxa"/>
              <w:left w:w="15" w:type="dxa"/>
              <w:right w:w="15" w:type="dxa"/>
            </w:tcMar>
            <w:vAlign w:val="center"/>
          </w:tcPr>
          <w:p w14:paraId="6DD47138">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 w:val="0"/>
                <w:i w:val="0"/>
                <w:color w:val="auto"/>
                <w:sz w:val="24"/>
                <w:szCs w:val="24"/>
                <w:highlight w:val="none"/>
              </w:rPr>
            </w:pPr>
            <w:r>
              <w:rPr>
                <w:rFonts w:hint="default" w:ascii="Times New Roman" w:hAnsi="Times New Roman" w:eastAsia="宋体" w:cs="Times New Roman"/>
                <w:color w:val="0C0C0C"/>
                <w:sz w:val="24"/>
                <w:szCs w:val="24"/>
                <w:lang w:val="en-US" w:eastAsia="zh-CN" w:bidi="ar"/>
              </w:rPr>
              <w:t>预期性</w:t>
            </w:r>
          </w:p>
        </w:tc>
        <w:tc>
          <w:tcPr>
            <w:tcW w:w="1031" w:type="dxa"/>
            <w:noWrap w:val="0"/>
            <w:tcMar>
              <w:top w:w="15" w:type="dxa"/>
              <w:left w:w="15" w:type="dxa"/>
              <w:right w:w="15" w:type="dxa"/>
            </w:tcMar>
            <w:vAlign w:val="center"/>
          </w:tcPr>
          <w:p w14:paraId="789BE1EB">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C0C0C"/>
                <w:sz w:val="21"/>
                <w:szCs w:val="21"/>
                <w:lang w:val="en-US" w:eastAsia="zh-CN" w:bidi="ar"/>
              </w:rPr>
            </w:pPr>
            <w:r>
              <w:rPr>
                <w:rFonts w:hint="default" w:ascii="Times New Roman" w:hAnsi="Times New Roman" w:eastAsia="宋体" w:cs="Times New Roman"/>
                <w:color w:val="0C0C0C"/>
                <w:sz w:val="21"/>
                <w:szCs w:val="21"/>
                <w:lang w:val="en-US" w:eastAsia="zh-CN" w:bidi="ar"/>
              </w:rPr>
              <w:t>统计口径发生变化</w:t>
            </w:r>
          </w:p>
        </w:tc>
      </w:tr>
      <w:tr w14:paraId="0DC3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528" w:type="dxa"/>
            <w:vMerge w:val="continue"/>
            <w:noWrap w:val="0"/>
            <w:tcMar>
              <w:top w:w="15" w:type="dxa"/>
              <w:left w:w="15" w:type="dxa"/>
              <w:right w:w="15" w:type="dxa"/>
            </w:tcMar>
            <w:vAlign w:val="center"/>
          </w:tcPr>
          <w:p w14:paraId="1992529D">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bidi="ar"/>
              </w:rPr>
            </w:pPr>
          </w:p>
        </w:tc>
        <w:tc>
          <w:tcPr>
            <w:tcW w:w="3993" w:type="dxa"/>
            <w:noWrap w:val="0"/>
            <w:tcMar>
              <w:top w:w="15" w:type="dxa"/>
              <w:left w:w="15" w:type="dxa"/>
              <w:right w:w="15" w:type="dxa"/>
            </w:tcMar>
            <w:vAlign w:val="center"/>
          </w:tcPr>
          <w:p w14:paraId="0B4C665E">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sz w:val="24"/>
                <w:szCs w:val="24"/>
                <w:highlight w:val="none"/>
                <w:lang w:val="en-US" w:eastAsia="zh-CN"/>
              </w:rPr>
              <w:t>常住人口城镇化率（%）</w:t>
            </w:r>
          </w:p>
        </w:tc>
        <w:tc>
          <w:tcPr>
            <w:tcW w:w="799" w:type="dxa"/>
            <w:noWrap w:val="0"/>
            <w:tcMar>
              <w:top w:w="15" w:type="dxa"/>
              <w:left w:w="15" w:type="dxa"/>
              <w:right w:w="15" w:type="dxa"/>
            </w:tcMar>
            <w:vAlign w:val="center"/>
          </w:tcPr>
          <w:p w14:paraId="2FE22EE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76</w:t>
            </w:r>
          </w:p>
        </w:tc>
        <w:tc>
          <w:tcPr>
            <w:tcW w:w="682" w:type="dxa"/>
            <w:noWrap w:val="0"/>
            <w:tcMar>
              <w:top w:w="15" w:type="dxa"/>
              <w:left w:w="15" w:type="dxa"/>
              <w:right w:w="15" w:type="dxa"/>
            </w:tcMar>
            <w:vAlign w:val="center"/>
          </w:tcPr>
          <w:p w14:paraId="643CD9B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c>
          <w:tcPr>
            <w:tcW w:w="832" w:type="dxa"/>
            <w:noWrap w:val="0"/>
            <w:tcMar>
              <w:top w:w="15" w:type="dxa"/>
              <w:left w:w="15" w:type="dxa"/>
              <w:right w:w="15" w:type="dxa"/>
            </w:tcMar>
            <w:vAlign w:val="center"/>
          </w:tcPr>
          <w:p w14:paraId="6481FC7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eastAsia" w:eastAsia="宋体" w:cs="Times New Roman"/>
                <w:b w:val="0"/>
                <w:i w:val="0"/>
                <w:color w:val="auto"/>
                <w:kern w:val="2"/>
                <w:sz w:val="24"/>
                <w:szCs w:val="24"/>
                <w:highlight w:val="none"/>
                <w:lang w:val="en-US" w:eastAsia="zh-CN" w:bidi="ar-SA"/>
              </w:rPr>
              <w:t>76.6#</w:t>
            </w:r>
          </w:p>
        </w:tc>
        <w:tc>
          <w:tcPr>
            <w:tcW w:w="833" w:type="dxa"/>
            <w:noWrap w:val="0"/>
            <w:tcMar>
              <w:top w:w="15" w:type="dxa"/>
              <w:left w:w="15" w:type="dxa"/>
              <w:right w:w="15" w:type="dxa"/>
            </w:tcMar>
            <w:vAlign w:val="center"/>
          </w:tcPr>
          <w:p w14:paraId="0D224CA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c>
          <w:tcPr>
            <w:tcW w:w="799" w:type="dxa"/>
            <w:noWrap w:val="0"/>
            <w:tcMar>
              <w:top w:w="15" w:type="dxa"/>
              <w:left w:w="15" w:type="dxa"/>
              <w:right w:w="15" w:type="dxa"/>
            </w:tcMar>
            <w:vAlign w:val="center"/>
          </w:tcPr>
          <w:p w14:paraId="55D438CD">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color w:val="0C0C0C"/>
                <w:sz w:val="24"/>
                <w:szCs w:val="24"/>
                <w:lang w:val="en-US" w:eastAsia="zh-CN" w:bidi="ar"/>
              </w:rPr>
              <w:t>预期性</w:t>
            </w:r>
          </w:p>
        </w:tc>
        <w:tc>
          <w:tcPr>
            <w:tcW w:w="1031" w:type="dxa"/>
            <w:noWrap w:val="0"/>
            <w:tcMar>
              <w:top w:w="15" w:type="dxa"/>
              <w:left w:w="15" w:type="dxa"/>
              <w:right w:w="15" w:type="dxa"/>
            </w:tcMar>
            <w:vAlign w:val="center"/>
          </w:tcPr>
          <w:p w14:paraId="0B6C3EC2">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r>
      <w:tr w14:paraId="590F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528" w:type="dxa"/>
            <w:vMerge w:val="continue"/>
            <w:noWrap w:val="0"/>
            <w:tcMar>
              <w:top w:w="15" w:type="dxa"/>
              <w:left w:w="15" w:type="dxa"/>
              <w:right w:w="15" w:type="dxa"/>
            </w:tcMar>
            <w:vAlign w:val="center"/>
          </w:tcPr>
          <w:p w14:paraId="16581F22">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bidi="ar"/>
              </w:rPr>
            </w:pPr>
          </w:p>
        </w:tc>
        <w:tc>
          <w:tcPr>
            <w:tcW w:w="3993" w:type="dxa"/>
            <w:noWrap w:val="0"/>
            <w:tcMar>
              <w:top w:w="15" w:type="dxa"/>
              <w:left w:w="15" w:type="dxa"/>
              <w:right w:w="15" w:type="dxa"/>
            </w:tcMar>
            <w:vAlign w:val="center"/>
          </w:tcPr>
          <w:p w14:paraId="3B16473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粮食综合生产能力（万吨）</w:t>
            </w:r>
          </w:p>
        </w:tc>
        <w:tc>
          <w:tcPr>
            <w:tcW w:w="799" w:type="dxa"/>
            <w:noWrap w:val="0"/>
            <w:tcMar>
              <w:top w:w="15" w:type="dxa"/>
              <w:left w:w="15" w:type="dxa"/>
              <w:right w:w="15" w:type="dxa"/>
            </w:tcMar>
            <w:vAlign w:val="center"/>
          </w:tcPr>
          <w:p w14:paraId="2CDFB1D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sz w:val="24"/>
                <w:szCs w:val="24"/>
                <w:rtl w:val="0"/>
                <w:lang w:val="en-US" w:eastAsia="zh-CN"/>
              </w:rPr>
              <w:t>≥</w:t>
            </w:r>
            <w:r>
              <w:rPr>
                <w:rFonts w:hint="default" w:ascii="Times New Roman" w:hAnsi="Times New Roman" w:eastAsia="宋体" w:cs="Times New Roman"/>
                <w:b w:val="0"/>
                <w:i w:val="0"/>
                <w:color w:val="auto"/>
                <w:kern w:val="0"/>
                <w:sz w:val="24"/>
                <w:szCs w:val="24"/>
                <w:highlight w:val="none"/>
                <w:rtl w:val="0"/>
                <w:lang w:val="en-US" w:eastAsia="zh-CN"/>
              </w:rPr>
              <w:t>11</w:t>
            </w:r>
          </w:p>
        </w:tc>
        <w:tc>
          <w:tcPr>
            <w:tcW w:w="682" w:type="dxa"/>
            <w:noWrap w:val="0"/>
            <w:tcMar>
              <w:top w:w="15" w:type="dxa"/>
              <w:left w:w="15" w:type="dxa"/>
              <w:right w:w="15" w:type="dxa"/>
            </w:tcMar>
            <w:vAlign w:val="center"/>
          </w:tcPr>
          <w:p w14:paraId="6F68D42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w:t>
            </w:r>
          </w:p>
        </w:tc>
        <w:tc>
          <w:tcPr>
            <w:tcW w:w="832" w:type="dxa"/>
            <w:noWrap w:val="0"/>
            <w:tcMar>
              <w:top w:w="15" w:type="dxa"/>
              <w:left w:w="15" w:type="dxa"/>
              <w:right w:w="15" w:type="dxa"/>
            </w:tcMar>
            <w:vAlign w:val="center"/>
          </w:tcPr>
          <w:p w14:paraId="4DB4B97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11.5</w:t>
            </w:r>
          </w:p>
        </w:tc>
        <w:tc>
          <w:tcPr>
            <w:tcW w:w="833" w:type="dxa"/>
            <w:noWrap w:val="0"/>
            <w:tcMar>
              <w:top w:w="15" w:type="dxa"/>
              <w:left w:w="15" w:type="dxa"/>
              <w:right w:w="15" w:type="dxa"/>
            </w:tcMar>
            <w:vAlign w:val="center"/>
          </w:tcPr>
          <w:p w14:paraId="28B92487">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w:t>
            </w:r>
          </w:p>
        </w:tc>
        <w:tc>
          <w:tcPr>
            <w:tcW w:w="799" w:type="dxa"/>
            <w:noWrap w:val="0"/>
            <w:tcMar>
              <w:top w:w="15" w:type="dxa"/>
              <w:left w:w="15" w:type="dxa"/>
              <w:right w:w="15" w:type="dxa"/>
            </w:tcMar>
            <w:vAlign w:val="center"/>
          </w:tcPr>
          <w:p w14:paraId="3C96E2B9">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color w:val="0C0C0C"/>
                <w:sz w:val="24"/>
                <w:szCs w:val="24"/>
                <w:lang w:val="en-US" w:eastAsia="zh-CN" w:bidi="ar"/>
              </w:rPr>
              <w:t>约束性</w:t>
            </w:r>
          </w:p>
        </w:tc>
        <w:tc>
          <w:tcPr>
            <w:tcW w:w="1031" w:type="dxa"/>
            <w:noWrap w:val="0"/>
            <w:tcMar>
              <w:top w:w="15" w:type="dxa"/>
              <w:left w:w="15" w:type="dxa"/>
              <w:right w:w="15" w:type="dxa"/>
            </w:tcMar>
            <w:vAlign w:val="center"/>
          </w:tcPr>
          <w:p w14:paraId="66EB88DE">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r>
      <w:tr w14:paraId="738F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528" w:type="dxa"/>
            <w:vMerge w:val="restart"/>
            <w:noWrap/>
            <w:tcMar>
              <w:top w:w="15" w:type="dxa"/>
              <w:left w:w="15" w:type="dxa"/>
              <w:right w:w="15" w:type="dxa"/>
            </w:tcMar>
            <w:vAlign w:val="center"/>
          </w:tcPr>
          <w:p w14:paraId="1E1EC05B">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r>
              <w:rPr>
                <w:rFonts w:hint="default" w:ascii="Times New Roman" w:hAnsi="Times New Roman" w:eastAsia="宋体" w:cs="Times New Roman"/>
                <w:color w:val="0C0C0C"/>
                <w:sz w:val="24"/>
                <w:szCs w:val="24"/>
                <w:lang w:val="en-US" w:eastAsia="zh-CN" w:bidi="ar"/>
              </w:rPr>
              <w:t>生态环境</w:t>
            </w:r>
          </w:p>
        </w:tc>
        <w:tc>
          <w:tcPr>
            <w:tcW w:w="3993" w:type="dxa"/>
            <w:noWrap w:val="0"/>
            <w:tcMar>
              <w:top w:w="15" w:type="dxa"/>
              <w:left w:w="15" w:type="dxa"/>
              <w:right w:w="15" w:type="dxa"/>
            </w:tcMar>
            <w:vAlign w:val="center"/>
          </w:tcPr>
          <w:p w14:paraId="342C8E04">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both"/>
              <w:textAlignment w:val="center"/>
              <w:rPr>
                <w:rFonts w:hint="default" w:ascii="Times New Roman" w:hAnsi="Times New Roman" w:eastAsia="宋体" w:cs="Times New Roman"/>
                <w:color w:val="0C0C0C"/>
                <w:sz w:val="24"/>
                <w:szCs w:val="24"/>
                <w:lang w:val="en-US" w:eastAsia="zh-CN" w:bidi="ar"/>
              </w:rPr>
            </w:pPr>
            <w:r>
              <w:rPr>
                <w:rFonts w:hint="default" w:ascii="Times New Roman" w:hAnsi="Times New Roman" w:eastAsia="宋体" w:cs="Times New Roman"/>
                <w:color w:val="0C0C0C"/>
                <w:sz w:val="24"/>
                <w:szCs w:val="24"/>
                <w:lang w:val="en-US" w:eastAsia="zh-CN" w:bidi="ar"/>
              </w:rPr>
              <w:t>单位地区生产总值能耗下降（%）</w:t>
            </w:r>
          </w:p>
        </w:tc>
        <w:tc>
          <w:tcPr>
            <w:tcW w:w="799" w:type="dxa"/>
            <w:noWrap w:val="0"/>
            <w:tcMar>
              <w:top w:w="15" w:type="dxa"/>
              <w:left w:w="15" w:type="dxa"/>
              <w:right w:w="15" w:type="dxa"/>
            </w:tcMar>
            <w:vAlign w:val="center"/>
          </w:tcPr>
          <w:p w14:paraId="63DC5E2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[12]*</w:t>
            </w:r>
          </w:p>
        </w:tc>
        <w:tc>
          <w:tcPr>
            <w:tcW w:w="682" w:type="dxa"/>
            <w:noWrap w:val="0"/>
            <w:tcMar>
              <w:top w:w="15" w:type="dxa"/>
              <w:left w:w="15" w:type="dxa"/>
              <w:right w:w="15" w:type="dxa"/>
            </w:tcMar>
            <w:vAlign w:val="center"/>
          </w:tcPr>
          <w:p w14:paraId="3025A13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w:t>
            </w:r>
          </w:p>
        </w:tc>
        <w:tc>
          <w:tcPr>
            <w:tcW w:w="832" w:type="dxa"/>
            <w:noWrap w:val="0"/>
            <w:tcMar>
              <w:top w:w="15" w:type="dxa"/>
              <w:left w:w="15" w:type="dxa"/>
              <w:right w:w="15" w:type="dxa"/>
            </w:tcMar>
            <w:vAlign w:val="center"/>
          </w:tcPr>
          <w:p w14:paraId="55BD099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lang w:val="en-US" w:eastAsia="zh-CN" w:bidi="ar-SA"/>
              </w:rPr>
            </w:pPr>
            <w:r>
              <w:rPr>
                <w:rFonts w:hint="default" w:ascii="Times New Roman" w:hAnsi="Times New Roman" w:eastAsia="宋体" w:cs="Times New Roman"/>
                <w:b w:val="0"/>
                <w:i w:val="0"/>
                <w:color w:val="auto"/>
                <w:kern w:val="2"/>
                <w:sz w:val="24"/>
                <w:szCs w:val="24"/>
                <w:lang w:val="en-US" w:eastAsia="zh-CN" w:bidi="ar-SA"/>
              </w:rPr>
              <w:t>[18.8]</w:t>
            </w:r>
          </w:p>
        </w:tc>
        <w:tc>
          <w:tcPr>
            <w:tcW w:w="833" w:type="dxa"/>
            <w:noWrap w:val="0"/>
            <w:tcMar>
              <w:top w:w="15" w:type="dxa"/>
              <w:left w:w="15" w:type="dxa"/>
              <w:right w:w="15" w:type="dxa"/>
            </w:tcMar>
            <w:vAlign w:val="center"/>
          </w:tcPr>
          <w:p w14:paraId="4DB4982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lang w:val="en-US" w:eastAsia="zh-CN" w:bidi="ar-SA"/>
              </w:rPr>
              <w:t>-</w:t>
            </w:r>
          </w:p>
        </w:tc>
        <w:tc>
          <w:tcPr>
            <w:tcW w:w="799" w:type="dxa"/>
            <w:noWrap w:val="0"/>
            <w:tcMar>
              <w:top w:w="15" w:type="dxa"/>
              <w:left w:w="15" w:type="dxa"/>
              <w:right w:w="15" w:type="dxa"/>
            </w:tcMar>
            <w:vAlign w:val="center"/>
          </w:tcPr>
          <w:p w14:paraId="046E377E">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i w:val="0"/>
                <w:iCs w:val="0"/>
                <w:color w:val="0C0C0C"/>
                <w:kern w:val="0"/>
                <w:sz w:val="24"/>
                <w:szCs w:val="24"/>
                <w:u w:val="none"/>
                <w:lang w:val="en-US" w:eastAsia="zh-CN" w:bidi="ar"/>
              </w:rPr>
              <w:t>约束性</w:t>
            </w:r>
          </w:p>
        </w:tc>
        <w:tc>
          <w:tcPr>
            <w:tcW w:w="1031" w:type="dxa"/>
            <w:noWrap w:val="0"/>
            <w:tcMar>
              <w:top w:w="15" w:type="dxa"/>
              <w:left w:w="15" w:type="dxa"/>
              <w:right w:w="15" w:type="dxa"/>
            </w:tcMar>
            <w:vAlign w:val="center"/>
          </w:tcPr>
          <w:p w14:paraId="679E33CD">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0"/>
                <w:sz w:val="24"/>
                <w:szCs w:val="24"/>
                <w:u w:val="none"/>
                <w:lang w:val="en-US" w:eastAsia="zh-CN" w:bidi="ar"/>
              </w:rPr>
            </w:pPr>
          </w:p>
        </w:tc>
      </w:tr>
      <w:tr w14:paraId="2A7D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28" w:type="dxa"/>
            <w:vMerge w:val="continue"/>
            <w:noWrap/>
            <w:tcMar>
              <w:top w:w="15" w:type="dxa"/>
              <w:left w:w="15" w:type="dxa"/>
              <w:right w:w="15" w:type="dxa"/>
            </w:tcMar>
            <w:vAlign w:val="center"/>
          </w:tcPr>
          <w:p w14:paraId="1A9B0FCF">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c>
          <w:tcPr>
            <w:tcW w:w="3993" w:type="dxa"/>
            <w:noWrap w:val="0"/>
            <w:tcMar>
              <w:top w:w="15" w:type="dxa"/>
              <w:left w:w="15" w:type="dxa"/>
              <w:right w:w="15" w:type="dxa"/>
            </w:tcMar>
            <w:vAlign w:val="center"/>
          </w:tcPr>
          <w:p w14:paraId="1F026578">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both"/>
              <w:textAlignment w:val="center"/>
              <w:rPr>
                <w:rFonts w:hint="default" w:ascii="Times New Roman" w:hAnsi="Times New Roman" w:eastAsia="宋体" w:cs="Times New Roman"/>
                <w:color w:val="0C0C0C"/>
                <w:sz w:val="24"/>
                <w:szCs w:val="24"/>
                <w:lang w:val="en-US" w:eastAsia="zh-CN" w:bidi="ar"/>
              </w:rPr>
            </w:pPr>
            <w:r>
              <w:rPr>
                <w:rFonts w:hint="default" w:ascii="Times New Roman" w:hAnsi="Times New Roman" w:eastAsia="宋体" w:cs="Times New Roman"/>
                <w:color w:val="0C0C0C"/>
                <w:sz w:val="24"/>
                <w:szCs w:val="24"/>
                <w:lang w:val="en-US" w:eastAsia="zh-CN" w:bidi="ar"/>
              </w:rPr>
              <w:t>单位地区生产总值用水量降低（%）</w:t>
            </w:r>
          </w:p>
        </w:tc>
        <w:tc>
          <w:tcPr>
            <w:tcW w:w="799" w:type="dxa"/>
            <w:noWrap w:val="0"/>
            <w:tcMar>
              <w:top w:w="15" w:type="dxa"/>
              <w:left w:w="15" w:type="dxa"/>
              <w:right w:w="15" w:type="dxa"/>
            </w:tcMar>
            <w:vAlign w:val="center"/>
          </w:tcPr>
          <w:p w14:paraId="5338A5B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[10]*</w:t>
            </w:r>
          </w:p>
        </w:tc>
        <w:tc>
          <w:tcPr>
            <w:tcW w:w="682" w:type="dxa"/>
            <w:noWrap w:val="0"/>
            <w:tcMar>
              <w:top w:w="15" w:type="dxa"/>
              <w:left w:w="15" w:type="dxa"/>
              <w:right w:w="15" w:type="dxa"/>
            </w:tcMar>
            <w:vAlign w:val="center"/>
          </w:tcPr>
          <w:p w14:paraId="1768995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w:t>
            </w:r>
          </w:p>
        </w:tc>
        <w:tc>
          <w:tcPr>
            <w:tcW w:w="832" w:type="dxa"/>
            <w:noWrap w:val="0"/>
            <w:tcMar>
              <w:top w:w="15" w:type="dxa"/>
              <w:left w:w="15" w:type="dxa"/>
              <w:right w:w="15" w:type="dxa"/>
            </w:tcMar>
            <w:vAlign w:val="center"/>
          </w:tcPr>
          <w:p w14:paraId="4514549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rtl w:val="0"/>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[16.7]</w:t>
            </w:r>
          </w:p>
        </w:tc>
        <w:tc>
          <w:tcPr>
            <w:tcW w:w="833" w:type="dxa"/>
            <w:noWrap w:val="0"/>
            <w:tcMar>
              <w:top w:w="15" w:type="dxa"/>
              <w:left w:w="15" w:type="dxa"/>
              <w:right w:w="15" w:type="dxa"/>
            </w:tcMar>
            <w:vAlign w:val="center"/>
          </w:tcPr>
          <w:p w14:paraId="67E4854F">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w:t>
            </w:r>
          </w:p>
        </w:tc>
        <w:tc>
          <w:tcPr>
            <w:tcW w:w="799" w:type="dxa"/>
            <w:noWrap w:val="0"/>
            <w:tcMar>
              <w:top w:w="15" w:type="dxa"/>
              <w:left w:w="15" w:type="dxa"/>
              <w:right w:w="15" w:type="dxa"/>
            </w:tcMar>
            <w:vAlign w:val="center"/>
          </w:tcPr>
          <w:p w14:paraId="44F129B1">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i w:val="0"/>
                <w:iCs w:val="0"/>
                <w:color w:val="0C0C0C"/>
                <w:kern w:val="0"/>
                <w:sz w:val="24"/>
                <w:szCs w:val="24"/>
                <w:u w:val="none"/>
                <w:lang w:val="en-US" w:eastAsia="zh-CN" w:bidi="ar"/>
              </w:rPr>
              <w:t>约束性</w:t>
            </w:r>
          </w:p>
        </w:tc>
        <w:tc>
          <w:tcPr>
            <w:tcW w:w="1031" w:type="dxa"/>
            <w:noWrap w:val="0"/>
            <w:tcMar>
              <w:top w:w="15" w:type="dxa"/>
              <w:left w:w="15" w:type="dxa"/>
              <w:right w:w="15" w:type="dxa"/>
            </w:tcMar>
            <w:vAlign w:val="center"/>
          </w:tcPr>
          <w:p w14:paraId="0AE6DF8E">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0"/>
                <w:sz w:val="24"/>
                <w:szCs w:val="24"/>
                <w:u w:val="none"/>
                <w:lang w:val="en-US" w:eastAsia="zh-CN" w:bidi="ar"/>
              </w:rPr>
            </w:pPr>
          </w:p>
        </w:tc>
      </w:tr>
      <w:tr w14:paraId="4062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528" w:type="dxa"/>
            <w:vMerge w:val="continue"/>
            <w:noWrap/>
            <w:tcMar>
              <w:top w:w="15" w:type="dxa"/>
              <w:left w:w="15" w:type="dxa"/>
              <w:right w:w="15" w:type="dxa"/>
            </w:tcMar>
            <w:vAlign w:val="center"/>
          </w:tcPr>
          <w:p w14:paraId="75F27195">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c>
          <w:tcPr>
            <w:tcW w:w="3993" w:type="dxa"/>
            <w:noWrap w:val="0"/>
            <w:tcMar>
              <w:top w:w="15" w:type="dxa"/>
              <w:left w:w="15" w:type="dxa"/>
              <w:right w:w="15" w:type="dxa"/>
            </w:tcMar>
            <w:vAlign w:val="center"/>
          </w:tcPr>
          <w:p w14:paraId="10E03224">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left"/>
              <w:textAlignment w:val="center"/>
              <w:rPr>
                <w:rFonts w:hint="default" w:ascii="Times New Roman" w:hAnsi="Times New Roman" w:eastAsia="宋体" w:cs="Times New Roman"/>
                <w:color w:val="0C0C0C"/>
                <w:sz w:val="24"/>
                <w:szCs w:val="24"/>
                <w:lang w:val="en-US" w:eastAsia="zh-CN" w:bidi="ar"/>
              </w:rPr>
            </w:pPr>
            <w:r>
              <w:rPr>
                <w:rFonts w:hint="default" w:ascii="Times New Roman" w:hAnsi="Times New Roman" w:eastAsia="宋体" w:cs="Times New Roman"/>
                <w:color w:val="0C0C0C"/>
                <w:sz w:val="24"/>
                <w:szCs w:val="24"/>
                <w:lang w:val="en-US" w:eastAsia="zh-CN" w:bidi="ar"/>
              </w:rPr>
              <w:t>单位地区生产总值二氧化碳排放量降低（%）</w:t>
            </w:r>
          </w:p>
        </w:tc>
        <w:tc>
          <w:tcPr>
            <w:tcW w:w="799" w:type="dxa"/>
            <w:noWrap w:val="0"/>
            <w:tcMar>
              <w:top w:w="15" w:type="dxa"/>
              <w:left w:w="15" w:type="dxa"/>
              <w:right w:w="15" w:type="dxa"/>
            </w:tcMar>
            <w:vAlign w:val="center"/>
          </w:tcPr>
          <w:p w14:paraId="075BBD0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rPr>
            </w:pPr>
            <w:r>
              <w:rPr>
                <w:rFonts w:hint="default" w:ascii="Times New Roman" w:hAnsi="Times New Roman" w:eastAsia="宋体" w:cs="Times New Roman"/>
                <w:i w:val="0"/>
                <w:iCs w:val="0"/>
                <w:color w:val="0C0C0C"/>
                <w:kern w:val="0"/>
                <w:sz w:val="24"/>
                <w:szCs w:val="24"/>
                <w:u w:val="none"/>
                <w:lang w:val="en-US" w:eastAsia="zh-CN" w:bidi="ar"/>
              </w:rPr>
              <w:t>[15]</w:t>
            </w:r>
            <w:r>
              <w:rPr>
                <w:rFonts w:hint="default" w:ascii="Times New Roman" w:hAnsi="Times New Roman" w:eastAsia="宋体" w:cs="Times New Roman"/>
                <w:color w:val="auto"/>
                <w:sz w:val="24"/>
                <w:szCs w:val="24"/>
                <w:highlight w:val="none"/>
                <w:lang w:val="en-US" w:eastAsia="zh-CN"/>
              </w:rPr>
              <w:t>*</w:t>
            </w:r>
          </w:p>
        </w:tc>
        <w:tc>
          <w:tcPr>
            <w:tcW w:w="682" w:type="dxa"/>
            <w:noWrap w:val="0"/>
            <w:tcMar>
              <w:top w:w="15" w:type="dxa"/>
              <w:left w:w="15" w:type="dxa"/>
              <w:right w:w="15" w:type="dxa"/>
            </w:tcMar>
            <w:vAlign w:val="center"/>
          </w:tcPr>
          <w:p w14:paraId="5166079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rPr>
            </w:pPr>
            <w:r>
              <w:rPr>
                <w:rFonts w:hint="default" w:ascii="Times New Roman" w:hAnsi="Times New Roman" w:eastAsia="宋体" w:cs="Times New Roman"/>
                <w:b w:val="0"/>
                <w:i w:val="0"/>
                <w:color w:val="auto"/>
                <w:kern w:val="0"/>
                <w:sz w:val="24"/>
                <w:szCs w:val="24"/>
                <w:highlight w:val="none"/>
                <w:lang w:val="en-US" w:eastAsia="zh-CN"/>
              </w:rPr>
              <w:t>-</w:t>
            </w:r>
          </w:p>
        </w:tc>
        <w:tc>
          <w:tcPr>
            <w:tcW w:w="832" w:type="dxa"/>
            <w:noWrap w:val="0"/>
            <w:tcMar>
              <w:top w:w="15" w:type="dxa"/>
              <w:left w:w="15" w:type="dxa"/>
              <w:right w:w="15" w:type="dxa"/>
            </w:tcMar>
            <w:vAlign w:val="center"/>
          </w:tcPr>
          <w:p w14:paraId="6971B2A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rtl w:val="0"/>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[17.3]</w:t>
            </w:r>
          </w:p>
        </w:tc>
        <w:tc>
          <w:tcPr>
            <w:tcW w:w="833" w:type="dxa"/>
            <w:noWrap w:val="0"/>
            <w:tcMar>
              <w:top w:w="15" w:type="dxa"/>
              <w:left w:w="15" w:type="dxa"/>
              <w:right w:w="15" w:type="dxa"/>
            </w:tcMar>
            <w:vAlign w:val="center"/>
          </w:tcPr>
          <w:p w14:paraId="0CBA5A1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w:t>
            </w:r>
          </w:p>
        </w:tc>
        <w:tc>
          <w:tcPr>
            <w:tcW w:w="799" w:type="dxa"/>
            <w:noWrap w:val="0"/>
            <w:tcMar>
              <w:top w:w="15" w:type="dxa"/>
              <w:left w:w="15" w:type="dxa"/>
              <w:right w:w="15" w:type="dxa"/>
            </w:tcMar>
            <w:vAlign w:val="center"/>
          </w:tcPr>
          <w:p w14:paraId="6231EC28">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0"/>
                <w:sz w:val="24"/>
                <w:szCs w:val="24"/>
                <w:u w:val="none"/>
                <w:lang w:val="en-US" w:eastAsia="zh-CN" w:bidi="ar"/>
              </w:rPr>
            </w:pPr>
            <w:r>
              <w:rPr>
                <w:rFonts w:hint="default" w:ascii="Times New Roman" w:hAnsi="Times New Roman" w:eastAsia="宋体" w:cs="Times New Roman"/>
                <w:i w:val="0"/>
                <w:iCs w:val="0"/>
                <w:color w:val="0C0C0C"/>
                <w:kern w:val="0"/>
                <w:sz w:val="24"/>
                <w:szCs w:val="24"/>
                <w:u w:val="none"/>
                <w:lang w:val="en-US" w:eastAsia="zh-CN" w:bidi="ar"/>
              </w:rPr>
              <w:t>约束性</w:t>
            </w:r>
          </w:p>
        </w:tc>
        <w:tc>
          <w:tcPr>
            <w:tcW w:w="1031" w:type="dxa"/>
            <w:noWrap w:val="0"/>
            <w:tcMar>
              <w:top w:w="15" w:type="dxa"/>
              <w:left w:w="15" w:type="dxa"/>
              <w:right w:w="15" w:type="dxa"/>
            </w:tcMar>
            <w:vAlign w:val="center"/>
          </w:tcPr>
          <w:p w14:paraId="6D12CC02">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0"/>
                <w:sz w:val="24"/>
                <w:szCs w:val="24"/>
                <w:u w:val="none"/>
                <w:lang w:val="en-US" w:eastAsia="zh-CN" w:bidi="ar"/>
              </w:rPr>
            </w:pPr>
          </w:p>
        </w:tc>
      </w:tr>
      <w:tr w14:paraId="5C7F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528" w:type="dxa"/>
            <w:vMerge w:val="continue"/>
            <w:noWrap/>
            <w:tcMar>
              <w:top w:w="15" w:type="dxa"/>
              <w:left w:w="15" w:type="dxa"/>
              <w:right w:w="15" w:type="dxa"/>
            </w:tcMar>
            <w:vAlign w:val="center"/>
          </w:tcPr>
          <w:p w14:paraId="006EFE6F">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5D94C4F7">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b w:val="0"/>
                <w:i w:val="0"/>
                <w:color w:val="auto"/>
                <w:kern w:val="0"/>
                <w:sz w:val="24"/>
                <w:szCs w:val="24"/>
                <w:highlight w:val="none"/>
                <w:lang w:val="en-US" w:eastAsia="zh-CN" w:bidi="ar"/>
              </w:rPr>
              <w:t>城市空气质量优良天数比例（%）</w:t>
            </w:r>
          </w:p>
        </w:tc>
        <w:tc>
          <w:tcPr>
            <w:tcW w:w="799" w:type="dxa"/>
            <w:noWrap w:val="0"/>
            <w:tcMar>
              <w:top w:w="15" w:type="dxa"/>
              <w:left w:w="15" w:type="dxa"/>
              <w:right w:w="15" w:type="dxa"/>
            </w:tcMar>
            <w:vAlign w:val="center"/>
          </w:tcPr>
          <w:p w14:paraId="01F29ED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rPr>
            </w:pPr>
            <w:r>
              <w:rPr>
                <w:rFonts w:hint="default" w:ascii="Times New Roman" w:hAnsi="Times New Roman" w:eastAsia="宋体" w:cs="Times New Roman"/>
                <w:b w:val="0"/>
                <w:i w:val="0"/>
                <w:color w:val="auto"/>
                <w:kern w:val="0"/>
                <w:sz w:val="24"/>
                <w:szCs w:val="24"/>
                <w:highlight w:val="none"/>
                <w:lang w:val="en-US" w:eastAsia="zh-CN"/>
              </w:rPr>
              <w:t>-</w:t>
            </w:r>
          </w:p>
        </w:tc>
        <w:tc>
          <w:tcPr>
            <w:tcW w:w="682" w:type="dxa"/>
            <w:noWrap w:val="0"/>
            <w:tcMar>
              <w:top w:w="15" w:type="dxa"/>
              <w:left w:w="15" w:type="dxa"/>
              <w:right w:w="15" w:type="dxa"/>
            </w:tcMar>
            <w:vAlign w:val="center"/>
          </w:tcPr>
          <w:p w14:paraId="594A8FF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0"/>
                <w:sz w:val="24"/>
                <w:szCs w:val="24"/>
                <w:highlight w:val="none"/>
                <w:lang w:val="en-US" w:eastAsia="zh-CN"/>
              </w:rPr>
              <w:t>83.5*</w:t>
            </w:r>
          </w:p>
        </w:tc>
        <w:tc>
          <w:tcPr>
            <w:tcW w:w="832" w:type="dxa"/>
            <w:noWrap w:val="0"/>
            <w:tcMar>
              <w:top w:w="15" w:type="dxa"/>
              <w:left w:w="15" w:type="dxa"/>
              <w:right w:w="15" w:type="dxa"/>
            </w:tcMar>
            <w:vAlign w:val="center"/>
          </w:tcPr>
          <w:p w14:paraId="6DC04D2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rtl w:val="0"/>
                <w:lang w:val="en-US" w:eastAsia="zh-CN" w:bidi="ar-SA"/>
              </w:rPr>
            </w:pPr>
            <w:r>
              <w:rPr>
                <w:rFonts w:hint="default" w:ascii="Times New Roman" w:hAnsi="Times New Roman" w:eastAsia="宋体" w:cs="Times New Roman"/>
                <w:b w:val="0"/>
                <w:i w:val="0"/>
                <w:color w:val="auto"/>
                <w:kern w:val="2"/>
                <w:sz w:val="24"/>
                <w:szCs w:val="24"/>
                <w:highlight w:val="none"/>
                <w:rtl w:val="0"/>
                <w:lang w:val="en-US" w:eastAsia="zh-CN" w:bidi="ar-SA"/>
              </w:rPr>
              <w:t>86.6</w:t>
            </w:r>
          </w:p>
        </w:tc>
        <w:tc>
          <w:tcPr>
            <w:tcW w:w="833" w:type="dxa"/>
            <w:noWrap w:val="0"/>
            <w:tcMar>
              <w:top w:w="15" w:type="dxa"/>
              <w:left w:w="15" w:type="dxa"/>
              <w:right w:w="15" w:type="dxa"/>
            </w:tcMar>
            <w:vAlign w:val="center"/>
          </w:tcPr>
          <w:p w14:paraId="2492D547">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w:t>
            </w:r>
          </w:p>
        </w:tc>
        <w:tc>
          <w:tcPr>
            <w:tcW w:w="799" w:type="dxa"/>
            <w:noWrap w:val="0"/>
            <w:tcMar>
              <w:top w:w="15" w:type="dxa"/>
              <w:left w:w="15" w:type="dxa"/>
              <w:right w:w="15" w:type="dxa"/>
            </w:tcMar>
            <w:vAlign w:val="center"/>
          </w:tcPr>
          <w:p w14:paraId="53643222">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bidi="ar"/>
              </w:rPr>
            </w:pPr>
            <w:r>
              <w:rPr>
                <w:rFonts w:hint="default" w:ascii="Times New Roman" w:hAnsi="Times New Roman" w:eastAsia="宋体" w:cs="Times New Roman"/>
                <w:i w:val="0"/>
                <w:iCs w:val="0"/>
                <w:color w:val="0C0C0C"/>
                <w:kern w:val="0"/>
                <w:sz w:val="24"/>
                <w:szCs w:val="24"/>
                <w:u w:val="none"/>
                <w:lang w:val="en-US" w:eastAsia="zh-CN" w:bidi="ar"/>
              </w:rPr>
              <w:t>约束性</w:t>
            </w:r>
          </w:p>
        </w:tc>
        <w:tc>
          <w:tcPr>
            <w:tcW w:w="1031" w:type="dxa"/>
            <w:noWrap w:val="0"/>
            <w:tcMar>
              <w:top w:w="15" w:type="dxa"/>
              <w:left w:w="15" w:type="dxa"/>
              <w:right w:w="15" w:type="dxa"/>
            </w:tcMar>
            <w:vAlign w:val="center"/>
          </w:tcPr>
          <w:p w14:paraId="172D4836">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0"/>
                <w:sz w:val="24"/>
                <w:szCs w:val="24"/>
                <w:u w:val="none"/>
                <w:lang w:val="en-US" w:eastAsia="zh-CN" w:bidi="ar"/>
              </w:rPr>
            </w:pPr>
          </w:p>
        </w:tc>
      </w:tr>
      <w:tr w14:paraId="4577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528" w:type="dxa"/>
            <w:vMerge w:val="continue"/>
            <w:noWrap/>
            <w:tcMar>
              <w:top w:w="15" w:type="dxa"/>
              <w:left w:w="15" w:type="dxa"/>
              <w:right w:w="15" w:type="dxa"/>
            </w:tcMar>
            <w:vAlign w:val="center"/>
          </w:tcPr>
          <w:p w14:paraId="3306DC48">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04A764F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sz w:val="24"/>
                <w:szCs w:val="24"/>
                <w:highlight w:val="none"/>
                <w:lang w:val="en-US" w:eastAsia="zh-CN"/>
              </w:rPr>
              <w:t>地表水质量达到Ⅱ类水体比例</w:t>
            </w:r>
            <w:r>
              <w:rPr>
                <w:rFonts w:hint="default" w:ascii="Times New Roman" w:hAnsi="Times New Roman" w:eastAsia="宋体" w:cs="Times New Roman"/>
                <w:b w:val="0"/>
                <w:i w:val="0"/>
                <w:color w:val="auto"/>
                <w:sz w:val="24"/>
                <w:szCs w:val="24"/>
                <w:highlight w:val="none"/>
              </w:rPr>
              <w:t>（%）</w:t>
            </w:r>
          </w:p>
        </w:tc>
        <w:tc>
          <w:tcPr>
            <w:tcW w:w="799" w:type="dxa"/>
            <w:noWrap w:val="0"/>
            <w:tcMar>
              <w:top w:w="15" w:type="dxa"/>
              <w:left w:w="15" w:type="dxa"/>
              <w:right w:w="15" w:type="dxa"/>
            </w:tcMar>
            <w:vAlign w:val="center"/>
          </w:tcPr>
          <w:p w14:paraId="6FF385D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4"/>
                <w:szCs w:val="24"/>
                <w:highlight w:val="none"/>
                <w:lang w:val="en-US" w:eastAsia="zh-CN"/>
              </w:rPr>
            </w:pPr>
            <w:r>
              <w:rPr>
                <w:rFonts w:hint="default" w:ascii="Times New Roman" w:hAnsi="Times New Roman" w:eastAsia="宋体" w:cs="Times New Roman"/>
                <w:b w:val="0"/>
                <w:i w:val="0"/>
                <w:color w:val="auto"/>
                <w:kern w:val="0"/>
                <w:sz w:val="24"/>
                <w:szCs w:val="24"/>
                <w:highlight w:val="none"/>
                <w:lang w:val="en-US" w:eastAsia="zh-CN"/>
              </w:rPr>
              <w:t>-</w:t>
            </w:r>
          </w:p>
        </w:tc>
        <w:tc>
          <w:tcPr>
            <w:tcW w:w="682" w:type="dxa"/>
            <w:noWrap w:val="0"/>
            <w:tcMar>
              <w:top w:w="15" w:type="dxa"/>
              <w:left w:w="15" w:type="dxa"/>
              <w:right w:w="15" w:type="dxa"/>
            </w:tcMar>
            <w:vAlign w:val="center"/>
          </w:tcPr>
          <w:p w14:paraId="267B703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0"/>
                <w:sz w:val="24"/>
                <w:szCs w:val="24"/>
                <w:highlight w:val="none"/>
              </w:rPr>
              <w:t>100</w:t>
            </w:r>
          </w:p>
        </w:tc>
        <w:tc>
          <w:tcPr>
            <w:tcW w:w="832" w:type="dxa"/>
            <w:noWrap w:val="0"/>
            <w:tcMar>
              <w:top w:w="15" w:type="dxa"/>
              <w:left w:w="15" w:type="dxa"/>
              <w:right w:w="15" w:type="dxa"/>
            </w:tcMar>
            <w:vAlign w:val="center"/>
          </w:tcPr>
          <w:p w14:paraId="70181479">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100</w:t>
            </w:r>
          </w:p>
        </w:tc>
        <w:tc>
          <w:tcPr>
            <w:tcW w:w="833" w:type="dxa"/>
            <w:noWrap w:val="0"/>
            <w:tcMar>
              <w:top w:w="15" w:type="dxa"/>
              <w:left w:w="15" w:type="dxa"/>
              <w:right w:w="15" w:type="dxa"/>
            </w:tcMar>
            <w:vAlign w:val="center"/>
          </w:tcPr>
          <w:p w14:paraId="13ABED5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w:t>
            </w:r>
          </w:p>
        </w:tc>
        <w:tc>
          <w:tcPr>
            <w:tcW w:w="799" w:type="dxa"/>
            <w:noWrap w:val="0"/>
            <w:tcMar>
              <w:top w:w="15" w:type="dxa"/>
              <w:left w:w="15" w:type="dxa"/>
              <w:right w:w="15" w:type="dxa"/>
            </w:tcMar>
            <w:vAlign w:val="center"/>
          </w:tcPr>
          <w:p w14:paraId="00145396">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color w:val="0C0C0C"/>
                <w:sz w:val="24"/>
                <w:szCs w:val="24"/>
                <w:lang w:val="en-US" w:eastAsia="zh-CN" w:bidi="ar"/>
              </w:rPr>
              <w:t>约束性</w:t>
            </w:r>
          </w:p>
        </w:tc>
        <w:tc>
          <w:tcPr>
            <w:tcW w:w="1031" w:type="dxa"/>
            <w:noWrap w:val="0"/>
            <w:tcMar>
              <w:top w:w="15" w:type="dxa"/>
              <w:left w:w="15" w:type="dxa"/>
              <w:right w:w="15" w:type="dxa"/>
            </w:tcMar>
            <w:vAlign w:val="center"/>
          </w:tcPr>
          <w:p w14:paraId="06652BDE">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r>
      <w:tr w14:paraId="4715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28" w:type="dxa"/>
            <w:vMerge w:val="continue"/>
            <w:noWrap/>
            <w:tcMar>
              <w:top w:w="15" w:type="dxa"/>
              <w:left w:w="15" w:type="dxa"/>
              <w:right w:w="15" w:type="dxa"/>
            </w:tcMar>
            <w:vAlign w:val="center"/>
          </w:tcPr>
          <w:p w14:paraId="530D26E3">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0BCD1F0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0"/>
                <w:sz w:val="24"/>
                <w:szCs w:val="24"/>
                <w:highlight w:val="none"/>
                <w:lang w:bidi="ar"/>
              </w:rPr>
              <w:t>森林覆盖率（%）</w:t>
            </w:r>
          </w:p>
        </w:tc>
        <w:tc>
          <w:tcPr>
            <w:tcW w:w="799" w:type="dxa"/>
            <w:noWrap w:val="0"/>
            <w:tcMar>
              <w:top w:w="15" w:type="dxa"/>
              <w:left w:w="15" w:type="dxa"/>
              <w:right w:w="15" w:type="dxa"/>
            </w:tcMar>
            <w:vAlign w:val="center"/>
          </w:tcPr>
          <w:p w14:paraId="618E883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rPr>
            </w:pPr>
            <w:r>
              <w:rPr>
                <w:rFonts w:hint="default" w:ascii="Times New Roman" w:hAnsi="Times New Roman" w:eastAsia="宋体" w:cs="Times New Roman"/>
                <w:b w:val="0"/>
                <w:i w:val="0"/>
                <w:color w:val="auto"/>
                <w:sz w:val="24"/>
                <w:szCs w:val="24"/>
                <w:rtl w:val="0"/>
                <w:lang w:val="en-US" w:eastAsia="zh-CN"/>
              </w:rPr>
              <w:t>≥28.2</w:t>
            </w:r>
          </w:p>
        </w:tc>
        <w:tc>
          <w:tcPr>
            <w:tcW w:w="682" w:type="dxa"/>
            <w:noWrap w:val="0"/>
            <w:tcMar>
              <w:top w:w="15" w:type="dxa"/>
              <w:left w:w="15" w:type="dxa"/>
              <w:right w:w="15" w:type="dxa"/>
            </w:tcMar>
            <w:vAlign w:val="center"/>
          </w:tcPr>
          <w:p w14:paraId="1374D52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sz w:val="24"/>
                <w:szCs w:val="24"/>
                <w:highlight w:val="none"/>
                <w:lang w:val="en-US" w:eastAsia="zh-CN"/>
              </w:rPr>
              <w:t>-</w:t>
            </w:r>
          </w:p>
        </w:tc>
        <w:tc>
          <w:tcPr>
            <w:tcW w:w="832" w:type="dxa"/>
            <w:noWrap w:val="0"/>
            <w:tcMar>
              <w:top w:w="15" w:type="dxa"/>
              <w:left w:w="15" w:type="dxa"/>
              <w:right w:w="15" w:type="dxa"/>
            </w:tcMar>
            <w:vAlign w:val="center"/>
          </w:tcPr>
          <w:p w14:paraId="098684B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28.2</w:t>
            </w:r>
          </w:p>
        </w:tc>
        <w:tc>
          <w:tcPr>
            <w:tcW w:w="833" w:type="dxa"/>
            <w:noWrap w:val="0"/>
            <w:tcMar>
              <w:top w:w="15" w:type="dxa"/>
              <w:left w:w="15" w:type="dxa"/>
              <w:right w:w="15" w:type="dxa"/>
            </w:tcMar>
            <w:vAlign w:val="center"/>
          </w:tcPr>
          <w:p w14:paraId="06B1BDD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w:t>
            </w:r>
          </w:p>
        </w:tc>
        <w:tc>
          <w:tcPr>
            <w:tcW w:w="799" w:type="dxa"/>
            <w:noWrap w:val="0"/>
            <w:tcMar>
              <w:top w:w="15" w:type="dxa"/>
              <w:left w:w="15" w:type="dxa"/>
              <w:right w:w="15" w:type="dxa"/>
            </w:tcMar>
            <w:vAlign w:val="center"/>
          </w:tcPr>
          <w:p w14:paraId="5D63A128">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color w:val="0C0C0C"/>
                <w:sz w:val="24"/>
                <w:szCs w:val="24"/>
                <w:lang w:val="en-US" w:eastAsia="zh-CN" w:bidi="ar"/>
              </w:rPr>
              <w:t>约束性</w:t>
            </w:r>
          </w:p>
        </w:tc>
        <w:tc>
          <w:tcPr>
            <w:tcW w:w="1031" w:type="dxa"/>
            <w:noWrap w:val="0"/>
            <w:tcMar>
              <w:top w:w="15" w:type="dxa"/>
              <w:left w:w="15" w:type="dxa"/>
              <w:right w:w="15" w:type="dxa"/>
            </w:tcMar>
            <w:vAlign w:val="center"/>
          </w:tcPr>
          <w:p w14:paraId="00819728">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r>
      <w:tr w14:paraId="6220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528" w:type="dxa"/>
            <w:vMerge w:val="restart"/>
            <w:noWrap/>
            <w:tcMar>
              <w:top w:w="15" w:type="dxa"/>
              <w:left w:w="15" w:type="dxa"/>
              <w:right w:w="15" w:type="dxa"/>
            </w:tcMar>
            <w:vAlign w:val="center"/>
          </w:tcPr>
          <w:p w14:paraId="7954F872">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改革开放</w:t>
            </w:r>
          </w:p>
        </w:tc>
        <w:tc>
          <w:tcPr>
            <w:tcW w:w="3993" w:type="dxa"/>
            <w:noWrap w:val="0"/>
            <w:tcMar>
              <w:top w:w="15" w:type="dxa"/>
              <w:left w:w="15" w:type="dxa"/>
              <w:right w:w="15" w:type="dxa"/>
            </w:tcMar>
            <w:vAlign w:val="center"/>
          </w:tcPr>
          <w:p w14:paraId="081FB907">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left"/>
              <w:textAlignment w:val="center"/>
              <w:rPr>
                <w:rFonts w:hint="default" w:ascii="Times New Roman" w:hAnsi="Times New Roman" w:eastAsia="宋体" w:cs="Times New Roman"/>
                <w:i w:val="0"/>
                <w:iCs w:val="0"/>
                <w:color w:val="0C0C0C"/>
                <w:kern w:val="2"/>
                <w:sz w:val="24"/>
                <w:szCs w:val="24"/>
                <w:u w:val="none"/>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对外贸易进出口总额（亿元）</w:t>
            </w:r>
          </w:p>
        </w:tc>
        <w:tc>
          <w:tcPr>
            <w:tcW w:w="799" w:type="dxa"/>
            <w:noWrap w:val="0"/>
            <w:tcMar>
              <w:top w:w="15" w:type="dxa"/>
              <w:left w:w="15" w:type="dxa"/>
              <w:right w:w="15" w:type="dxa"/>
            </w:tcMar>
            <w:vAlign w:val="center"/>
          </w:tcPr>
          <w:p w14:paraId="6E76996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7</w:t>
            </w:r>
          </w:p>
        </w:tc>
        <w:tc>
          <w:tcPr>
            <w:tcW w:w="682" w:type="dxa"/>
            <w:noWrap w:val="0"/>
            <w:tcMar>
              <w:top w:w="15" w:type="dxa"/>
              <w:left w:w="15" w:type="dxa"/>
              <w:right w:w="15" w:type="dxa"/>
            </w:tcMar>
            <w:vAlign w:val="center"/>
          </w:tcPr>
          <w:p w14:paraId="4D92B20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7%</w:t>
            </w:r>
          </w:p>
        </w:tc>
        <w:tc>
          <w:tcPr>
            <w:tcW w:w="832" w:type="dxa"/>
            <w:noWrap w:val="0"/>
            <w:tcMar>
              <w:top w:w="15" w:type="dxa"/>
              <w:left w:w="15" w:type="dxa"/>
              <w:right w:w="15" w:type="dxa"/>
            </w:tcMar>
            <w:vAlign w:val="center"/>
          </w:tcPr>
          <w:p w14:paraId="2B1186E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4</w:t>
            </w:r>
          </w:p>
        </w:tc>
        <w:tc>
          <w:tcPr>
            <w:tcW w:w="833" w:type="dxa"/>
            <w:noWrap w:val="0"/>
            <w:tcMar>
              <w:top w:w="15" w:type="dxa"/>
              <w:left w:w="15" w:type="dxa"/>
              <w:right w:w="15" w:type="dxa"/>
            </w:tcMar>
            <w:vAlign w:val="center"/>
          </w:tcPr>
          <w:p w14:paraId="56592F2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-9.4%</w:t>
            </w:r>
          </w:p>
        </w:tc>
        <w:tc>
          <w:tcPr>
            <w:tcW w:w="799" w:type="dxa"/>
            <w:noWrap w:val="0"/>
            <w:tcMar>
              <w:top w:w="15" w:type="dxa"/>
              <w:left w:w="15" w:type="dxa"/>
              <w:right w:w="15" w:type="dxa"/>
            </w:tcMar>
            <w:vAlign w:val="center"/>
          </w:tcPr>
          <w:p w14:paraId="40902245">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2"/>
                <w:sz w:val="24"/>
                <w:szCs w:val="24"/>
                <w:u w:val="none"/>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预期性</w:t>
            </w:r>
          </w:p>
        </w:tc>
        <w:tc>
          <w:tcPr>
            <w:tcW w:w="1031" w:type="dxa"/>
            <w:noWrap w:val="0"/>
            <w:tcMar>
              <w:top w:w="15" w:type="dxa"/>
              <w:left w:w="15" w:type="dxa"/>
              <w:right w:w="15" w:type="dxa"/>
            </w:tcMar>
            <w:vAlign w:val="center"/>
          </w:tcPr>
          <w:p w14:paraId="09159E94">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0"/>
                <w:sz w:val="24"/>
                <w:szCs w:val="24"/>
                <w:u w:val="none"/>
                <w:lang w:val="en-US" w:eastAsia="zh-CN" w:bidi="ar"/>
              </w:rPr>
            </w:pPr>
          </w:p>
        </w:tc>
      </w:tr>
      <w:tr w14:paraId="2175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528" w:type="dxa"/>
            <w:vMerge w:val="continue"/>
            <w:noWrap/>
            <w:tcMar>
              <w:top w:w="15" w:type="dxa"/>
              <w:left w:w="15" w:type="dxa"/>
              <w:right w:w="15" w:type="dxa"/>
            </w:tcMar>
            <w:vAlign w:val="center"/>
          </w:tcPr>
          <w:p w14:paraId="2F7CF84E">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0F08C108">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left"/>
              <w:textAlignment w:val="center"/>
              <w:rPr>
                <w:rFonts w:hint="default" w:ascii="Times New Roman" w:hAnsi="Times New Roman" w:eastAsia="宋体" w:cs="Times New Roman"/>
                <w:i w:val="0"/>
                <w:iCs w:val="0"/>
                <w:color w:val="0C0C0C"/>
                <w:kern w:val="2"/>
                <w:sz w:val="24"/>
                <w:szCs w:val="24"/>
                <w:u w:val="none"/>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非公经济增加值占GDP比重（%）</w:t>
            </w:r>
          </w:p>
        </w:tc>
        <w:tc>
          <w:tcPr>
            <w:tcW w:w="799" w:type="dxa"/>
            <w:noWrap w:val="0"/>
            <w:tcMar>
              <w:top w:w="15" w:type="dxa"/>
              <w:left w:w="15" w:type="dxa"/>
              <w:right w:w="15" w:type="dxa"/>
            </w:tcMar>
            <w:vAlign w:val="center"/>
          </w:tcPr>
          <w:p w14:paraId="659F413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58</w:t>
            </w:r>
          </w:p>
        </w:tc>
        <w:tc>
          <w:tcPr>
            <w:tcW w:w="682" w:type="dxa"/>
            <w:noWrap w:val="0"/>
            <w:tcMar>
              <w:top w:w="15" w:type="dxa"/>
              <w:left w:w="15" w:type="dxa"/>
              <w:right w:w="15" w:type="dxa"/>
            </w:tcMar>
            <w:vAlign w:val="center"/>
          </w:tcPr>
          <w:p w14:paraId="78164BC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rPr>
            </w:pPr>
            <w:r>
              <w:rPr>
                <w:rFonts w:hint="default" w:ascii="Times New Roman" w:hAnsi="Times New Roman" w:eastAsia="宋体" w:cs="Times New Roman"/>
                <w:color w:val="auto"/>
                <w:sz w:val="24"/>
                <w:szCs w:val="24"/>
                <w:highlight w:val="none"/>
                <w:lang w:val="en-US" w:eastAsia="zh-CN"/>
              </w:rPr>
              <w:t>[2]</w:t>
            </w:r>
          </w:p>
        </w:tc>
        <w:tc>
          <w:tcPr>
            <w:tcW w:w="832" w:type="dxa"/>
            <w:noWrap w:val="0"/>
            <w:tcMar>
              <w:top w:w="15" w:type="dxa"/>
              <w:left w:w="15" w:type="dxa"/>
              <w:right w:w="15" w:type="dxa"/>
            </w:tcMar>
            <w:vAlign w:val="center"/>
          </w:tcPr>
          <w:p w14:paraId="070BBA7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48</w:t>
            </w:r>
          </w:p>
        </w:tc>
        <w:tc>
          <w:tcPr>
            <w:tcW w:w="833" w:type="dxa"/>
            <w:noWrap w:val="0"/>
            <w:tcMar>
              <w:top w:w="15" w:type="dxa"/>
              <w:left w:w="15" w:type="dxa"/>
              <w:right w:w="15" w:type="dxa"/>
            </w:tcMar>
            <w:vAlign w:val="center"/>
          </w:tcPr>
          <w:p w14:paraId="3A5373B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799" w:type="dxa"/>
            <w:noWrap w:val="0"/>
            <w:tcMar>
              <w:top w:w="15" w:type="dxa"/>
              <w:left w:w="15" w:type="dxa"/>
              <w:right w:w="15" w:type="dxa"/>
            </w:tcMar>
            <w:vAlign w:val="center"/>
          </w:tcPr>
          <w:p w14:paraId="2CB628BD">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2"/>
                <w:sz w:val="24"/>
                <w:szCs w:val="24"/>
                <w:u w:val="none"/>
                <w:lang w:val="en-US" w:eastAsia="zh-CN" w:bidi="ar-SA"/>
              </w:rPr>
            </w:pPr>
            <w:r>
              <w:rPr>
                <w:rFonts w:hint="default" w:ascii="Times New Roman" w:hAnsi="Times New Roman" w:eastAsia="宋体" w:cs="Times New Roman"/>
                <w:color w:val="0C0C0C"/>
                <w:sz w:val="24"/>
                <w:szCs w:val="24"/>
                <w:lang w:val="en-US" w:eastAsia="zh-CN" w:bidi="ar"/>
              </w:rPr>
              <w:t>预期性</w:t>
            </w:r>
          </w:p>
        </w:tc>
        <w:tc>
          <w:tcPr>
            <w:tcW w:w="1031" w:type="dxa"/>
            <w:noWrap w:val="0"/>
            <w:tcMar>
              <w:top w:w="15" w:type="dxa"/>
              <w:left w:w="15" w:type="dxa"/>
              <w:right w:w="15" w:type="dxa"/>
            </w:tcMar>
            <w:vAlign w:val="center"/>
          </w:tcPr>
          <w:p w14:paraId="673E048C">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r>
      <w:tr w14:paraId="51EA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528" w:type="dxa"/>
            <w:vMerge w:val="continue"/>
            <w:noWrap/>
            <w:tcMar>
              <w:top w:w="15" w:type="dxa"/>
              <w:left w:w="15" w:type="dxa"/>
              <w:right w:w="15" w:type="dxa"/>
            </w:tcMar>
            <w:vAlign w:val="center"/>
          </w:tcPr>
          <w:p w14:paraId="025255A4">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273A12DA">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left"/>
              <w:textAlignment w:val="center"/>
              <w:rPr>
                <w:rFonts w:hint="default" w:ascii="Times New Roman" w:hAnsi="Times New Roman" w:eastAsia="宋体" w:cs="Times New Roman"/>
                <w:i w:val="0"/>
                <w:iCs w:val="0"/>
                <w:color w:val="0C0C0C"/>
                <w:kern w:val="2"/>
                <w:sz w:val="24"/>
                <w:szCs w:val="24"/>
                <w:u w:val="none"/>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营商环境便利度（全市位次）</w:t>
            </w:r>
          </w:p>
        </w:tc>
        <w:tc>
          <w:tcPr>
            <w:tcW w:w="799" w:type="dxa"/>
            <w:noWrap w:val="0"/>
            <w:tcMar>
              <w:top w:w="15" w:type="dxa"/>
              <w:left w:w="15" w:type="dxa"/>
              <w:right w:w="15" w:type="dxa"/>
            </w:tcMar>
            <w:vAlign w:val="center"/>
          </w:tcPr>
          <w:p w14:paraId="7EC60D9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i w:val="0"/>
                <w:iCs w:val="0"/>
                <w:color w:val="0C0C0C"/>
                <w:kern w:val="0"/>
                <w:sz w:val="24"/>
                <w:szCs w:val="24"/>
                <w:u w:val="none"/>
                <w:lang w:val="en-US" w:eastAsia="zh-CN" w:bidi="ar"/>
              </w:rPr>
              <w:t>≤3</w:t>
            </w:r>
          </w:p>
        </w:tc>
        <w:tc>
          <w:tcPr>
            <w:tcW w:w="682" w:type="dxa"/>
            <w:noWrap w:val="0"/>
            <w:tcMar>
              <w:top w:w="15" w:type="dxa"/>
              <w:left w:w="15" w:type="dxa"/>
              <w:right w:w="15" w:type="dxa"/>
            </w:tcMar>
            <w:vAlign w:val="center"/>
          </w:tcPr>
          <w:p w14:paraId="498CD6D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rPr>
            </w:pPr>
            <w:r>
              <w:rPr>
                <w:rFonts w:hint="default" w:ascii="Times New Roman" w:hAnsi="Times New Roman" w:eastAsia="宋体" w:cs="Times New Roman"/>
                <w:i w:val="0"/>
                <w:iCs w:val="0"/>
                <w:color w:val="0C0C0C"/>
                <w:kern w:val="0"/>
                <w:sz w:val="24"/>
                <w:szCs w:val="24"/>
                <w:u w:val="none"/>
                <w:lang w:val="en-US" w:eastAsia="zh-CN" w:bidi="ar"/>
              </w:rPr>
              <w:t>-</w:t>
            </w:r>
          </w:p>
        </w:tc>
        <w:tc>
          <w:tcPr>
            <w:tcW w:w="832" w:type="dxa"/>
            <w:noWrap w:val="0"/>
            <w:tcMar>
              <w:top w:w="15" w:type="dxa"/>
              <w:left w:w="15" w:type="dxa"/>
              <w:right w:w="15" w:type="dxa"/>
            </w:tcMar>
            <w:vAlign w:val="center"/>
          </w:tcPr>
          <w:p w14:paraId="11B3F14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833" w:type="dxa"/>
            <w:noWrap w:val="0"/>
            <w:tcMar>
              <w:top w:w="15" w:type="dxa"/>
              <w:left w:w="15" w:type="dxa"/>
              <w:right w:w="15" w:type="dxa"/>
            </w:tcMar>
            <w:vAlign w:val="center"/>
          </w:tcPr>
          <w:p w14:paraId="5F98DC7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799" w:type="dxa"/>
            <w:noWrap w:val="0"/>
            <w:tcMar>
              <w:top w:w="15" w:type="dxa"/>
              <w:left w:w="15" w:type="dxa"/>
              <w:right w:w="15" w:type="dxa"/>
            </w:tcMar>
            <w:vAlign w:val="center"/>
          </w:tcPr>
          <w:p w14:paraId="672D5AC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预期性</w:t>
            </w:r>
          </w:p>
        </w:tc>
        <w:tc>
          <w:tcPr>
            <w:tcW w:w="1031" w:type="dxa"/>
            <w:noWrap w:val="0"/>
            <w:tcMar>
              <w:top w:w="15" w:type="dxa"/>
              <w:left w:w="15" w:type="dxa"/>
              <w:right w:w="15" w:type="dxa"/>
            </w:tcMar>
            <w:vAlign w:val="center"/>
          </w:tcPr>
          <w:p w14:paraId="719FE2F0">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C0C0C"/>
                <w:sz w:val="21"/>
                <w:szCs w:val="21"/>
                <w:lang w:val="en-US" w:eastAsia="zh-CN" w:bidi="ar"/>
              </w:rPr>
            </w:pPr>
            <w:r>
              <w:rPr>
                <w:rFonts w:hint="default" w:ascii="Times New Roman" w:hAnsi="Times New Roman" w:eastAsia="宋体" w:cs="Times New Roman"/>
                <w:color w:val="0C0C0C"/>
                <w:sz w:val="21"/>
                <w:szCs w:val="21"/>
                <w:lang w:val="en-US" w:eastAsia="zh-CN" w:bidi="ar"/>
              </w:rPr>
              <w:t>市上未</w:t>
            </w:r>
          </w:p>
          <w:p w14:paraId="74A501CB">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color w:val="0C0C0C"/>
                <w:sz w:val="21"/>
                <w:szCs w:val="21"/>
                <w:lang w:val="en-US" w:eastAsia="zh-CN" w:bidi="ar"/>
              </w:rPr>
              <w:t>排名</w:t>
            </w:r>
          </w:p>
        </w:tc>
      </w:tr>
      <w:tr w14:paraId="4BF9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528" w:type="dxa"/>
            <w:vMerge w:val="restart"/>
            <w:noWrap/>
            <w:tcMar>
              <w:top w:w="15" w:type="dxa"/>
              <w:left w:w="15" w:type="dxa"/>
              <w:right w:w="15" w:type="dxa"/>
            </w:tcMar>
            <w:vAlign w:val="center"/>
          </w:tcPr>
          <w:p w14:paraId="62BBE585">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r>
              <w:rPr>
                <w:rFonts w:hint="default" w:ascii="Times New Roman" w:hAnsi="Times New Roman" w:eastAsia="宋体" w:cs="Times New Roman"/>
                <w:b w:val="0"/>
                <w:i w:val="0"/>
                <w:color w:val="auto"/>
                <w:sz w:val="24"/>
                <w:szCs w:val="24"/>
                <w:highlight w:val="none"/>
                <w:lang w:val="en-US" w:eastAsia="zh-CN"/>
              </w:rPr>
              <w:t>民生福祉</w:t>
            </w:r>
          </w:p>
        </w:tc>
        <w:tc>
          <w:tcPr>
            <w:tcW w:w="3993" w:type="dxa"/>
            <w:noWrap w:val="0"/>
            <w:tcMar>
              <w:top w:w="15" w:type="dxa"/>
              <w:left w:w="15" w:type="dxa"/>
              <w:right w:w="15" w:type="dxa"/>
            </w:tcMar>
            <w:vAlign w:val="center"/>
          </w:tcPr>
          <w:p w14:paraId="5DD92F8F">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left"/>
              <w:textAlignment w:val="center"/>
              <w:rPr>
                <w:rFonts w:hint="default" w:ascii="Times New Roman" w:hAnsi="Times New Roman" w:eastAsia="宋体" w:cs="Times New Roman"/>
                <w:i w:val="0"/>
                <w:iCs w:val="0"/>
                <w:color w:val="0C0C0C"/>
                <w:kern w:val="2"/>
                <w:sz w:val="24"/>
                <w:szCs w:val="24"/>
                <w:u w:val="none"/>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全体居民人均可支配收入（元）</w:t>
            </w:r>
          </w:p>
        </w:tc>
        <w:tc>
          <w:tcPr>
            <w:tcW w:w="799" w:type="dxa"/>
            <w:noWrap w:val="0"/>
            <w:tcMar>
              <w:top w:w="15" w:type="dxa"/>
              <w:left w:w="15" w:type="dxa"/>
              <w:right w:w="15" w:type="dxa"/>
            </w:tcMar>
            <w:vAlign w:val="center"/>
          </w:tcPr>
          <w:p w14:paraId="45956F7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41200</w:t>
            </w:r>
          </w:p>
        </w:tc>
        <w:tc>
          <w:tcPr>
            <w:tcW w:w="682" w:type="dxa"/>
            <w:noWrap w:val="0"/>
            <w:tcMar>
              <w:top w:w="15" w:type="dxa"/>
              <w:left w:w="15" w:type="dxa"/>
              <w:right w:w="15" w:type="dxa"/>
            </w:tcMar>
            <w:vAlign w:val="center"/>
          </w:tcPr>
          <w:p w14:paraId="081B099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7%</w:t>
            </w:r>
          </w:p>
        </w:tc>
        <w:tc>
          <w:tcPr>
            <w:tcW w:w="832" w:type="dxa"/>
            <w:noWrap w:val="0"/>
            <w:tcMar>
              <w:top w:w="15" w:type="dxa"/>
              <w:left w:w="15" w:type="dxa"/>
              <w:right w:w="15" w:type="dxa"/>
            </w:tcMar>
            <w:vAlign w:val="center"/>
          </w:tcPr>
          <w:p w14:paraId="73B4242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38614</w:t>
            </w:r>
          </w:p>
        </w:tc>
        <w:tc>
          <w:tcPr>
            <w:tcW w:w="833" w:type="dxa"/>
            <w:noWrap w:val="0"/>
            <w:tcMar>
              <w:top w:w="15" w:type="dxa"/>
              <w:left w:w="15" w:type="dxa"/>
              <w:right w:w="15" w:type="dxa"/>
            </w:tcMar>
            <w:vAlign w:val="center"/>
          </w:tcPr>
          <w:p w14:paraId="12E8E0B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5.5%</w:t>
            </w:r>
          </w:p>
        </w:tc>
        <w:tc>
          <w:tcPr>
            <w:tcW w:w="799" w:type="dxa"/>
            <w:noWrap w:val="0"/>
            <w:tcMar>
              <w:top w:w="15" w:type="dxa"/>
              <w:left w:w="15" w:type="dxa"/>
              <w:right w:w="15" w:type="dxa"/>
            </w:tcMar>
            <w:vAlign w:val="center"/>
          </w:tcPr>
          <w:p w14:paraId="7629171F">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预期性</w:t>
            </w:r>
          </w:p>
        </w:tc>
        <w:tc>
          <w:tcPr>
            <w:tcW w:w="1031" w:type="dxa"/>
            <w:noWrap w:val="0"/>
            <w:tcMar>
              <w:top w:w="15" w:type="dxa"/>
              <w:left w:w="15" w:type="dxa"/>
              <w:right w:w="15" w:type="dxa"/>
            </w:tcMar>
            <w:vAlign w:val="center"/>
          </w:tcPr>
          <w:p w14:paraId="4E43C1E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p>
        </w:tc>
      </w:tr>
      <w:tr w14:paraId="112A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528" w:type="dxa"/>
            <w:vMerge w:val="continue"/>
            <w:noWrap/>
            <w:tcMar>
              <w:top w:w="15" w:type="dxa"/>
              <w:left w:w="15" w:type="dxa"/>
              <w:right w:w="15" w:type="dxa"/>
            </w:tcMar>
            <w:vAlign w:val="center"/>
          </w:tcPr>
          <w:p w14:paraId="00EA5F48">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5B01F7E7">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left"/>
              <w:textAlignment w:val="center"/>
              <w:rPr>
                <w:rFonts w:hint="default" w:ascii="Times New Roman" w:hAnsi="Times New Roman" w:eastAsia="宋体" w:cs="Times New Roman"/>
                <w:i w:val="0"/>
                <w:iCs w:val="0"/>
                <w:color w:val="0C0C0C"/>
                <w:kern w:val="2"/>
                <w:sz w:val="24"/>
                <w:szCs w:val="24"/>
                <w:u w:val="none"/>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城镇</w:t>
            </w:r>
            <w:r>
              <w:rPr>
                <w:rFonts w:hint="eastAsia" w:eastAsia="宋体" w:cs="Times New Roman"/>
                <w:i w:val="0"/>
                <w:iCs w:val="0"/>
                <w:color w:val="0C0C0C"/>
                <w:kern w:val="0"/>
                <w:sz w:val="24"/>
                <w:szCs w:val="24"/>
                <w:u w:val="none"/>
                <w:lang w:val="en-US" w:eastAsia="zh-CN" w:bidi="ar"/>
              </w:rPr>
              <w:t>调查</w:t>
            </w:r>
            <w:r>
              <w:rPr>
                <w:rFonts w:hint="default" w:ascii="Times New Roman" w:hAnsi="Times New Roman" w:eastAsia="宋体" w:cs="Times New Roman"/>
                <w:i w:val="0"/>
                <w:iCs w:val="0"/>
                <w:color w:val="0C0C0C"/>
                <w:kern w:val="0"/>
                <w:sz w:val="24"/>
                <w:szCs w:val="24"/>
                <w:u w:val="none"/>
                <w:lang w:val="en-US" w:eastAsia="zh-CN" w:bidi="ar"/>
              </w:rPr>
              <w:t>失业率（%）</w:t>
            </w:r>
          </w:p>
        </w:tc>
        <w:tc>
          <w:tcPr>
            <w:tcW w:w="799" w:type="dxa"/>
            <w:noWrap w:val="0"/>
            <w:tcMar>
              <w:top w:w="15" w:type="dxa"/>
              <w:left w:w="15" w:type="dxa"/>
              <w:right w:w="15" w:type="dxa"/>
            </w:tcMar>
            <w:vAlign w:val="center"/>
          </w:tcPr>
          <w:p w14:paraId="0312CCC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5.5</w:t>
            </w:r>
          </w:p>
        </w:tc>
        <w:tc>
          <w:tcPr>
            <w:tcW w:w="682" w:type="dxa"/>
            <w:noWrap w:val="0"/>
            <w:tcMar>
              <w:top w:w="15" w:type="dxa"/>
              <w:left w:w="15" w:type="dxa"/>
              <w:right w:w="15" w:type="dxa"/>
            </w:tcMar>
            <w:vAlign w:val="center"/>
          </w:tcPr>
          <w:p w14:paraId="56D960BE">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832" w:type="dxa"/>
            <w:noWrap w:val="0"/>
            <w:tcMar>
              <w:top w:w="15" w:type="dxa"/>
              <w:left w:w="15" w:type="dxa"/>
              <w:right w:w="15" w:type="dxa"/>
            </w:tcMar>
            <w:vAlign w:val="center"/>
          </w:tcPr>
          <w:p w14:paraId="6AAF092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eastAsia" w:eastAsia="宋体" w:cs="Times New Roman"/>
                <w:i w:val="0"/>
                <w:iCs w:val="0"/>
                <w:color w:val="0C0C0C"/>
                <w:kern w:val="0"/>
                <w:sz w:val="24"/>
                <w:szCs w:val="24"/>
                <w:u w:val="none"/>
                <w:lang w:val="en-US" w:eastAsia="zh-CN" w:bidi="ar"/>
              </w:rPr>
              <w:t>-</w:t>
            </w:r>
          </w:p>
        </w:tc>
        <w:tc>
          <w:tcPr>
            <w:tcW w:w="833" w:type="dxa"/>
            <w:noWrap w:val="0"/>
            <w:tcMar>
              <w:top w:w="15" w:type="dxa"/>
              <w:left w:w="15" w:type="dxa"/>
              <w:right w:w="15" w:type="dxa"/>
            </w:tcMar>
            <w:vAlign w:val="center"/>
          </w:tcPr>
          <w:p w14:paraId="07EA8D3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799" w:type="dxa"/>
            <w:noWrap w:val="0"/>
            <w:tcMar>
              <w:top w:w="15" w:type="dxa"/>
              <w:left w:w="15" w:type="dxa"/>
              <w:right w:w="15" w:type="dxa"/>
            </w:tcMar>
            <w:vAlign w:val="center"/>
          </w:tcPr>
          <w:p w14:paraId="4887DFDC">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2"/>
                <w:sz w:val="24"/>
                <w:szCs w:val="24"/>
                <w:u w:val="none"/>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预期性</w:t>
            </w:r>
          </w:p>
        </w:tc>
        <w:tc>
          <w:tcPr>
            <w:tcW w:w="1031" w:type="dxa"/>
            <w:noWrap w:val="0"/>
            <w:tcMar>
              <w:top w:w="15" w:type="dxa"/>
              <w:left w:w="15" w:type="dxa"/>
              <w:right w:w="15" w:type="dxa"/>
            </w:tcMar>
            <w:vAlign w:val="center"/>
          </w:tcPr>
          <w:p w14:paraId="129C46C7">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0"/>
                <w:sz w:val="24"/>
                <w:szCs w:val="24"/>
                <w:u w:val="none"/>
                <w:lang w:val="en-US" w:eastAsia="zh-CN" w:bidi="ar"/>
              </w:rPr>
            </w:pPr>
            <w:r>
              <w:rPr>
                <w:rFonts w:hint="eastAsia" w:ascii="Times New Roman" w:hAnsi="Times New Roman" w:eastAsia="宋体" w:cs="Times New Roman"/>
                <w:color w:val="0C0C0C"/>
                <w:sz w:val="21"/>
                <w:szCs w:val="21"/>
                <w:lang w:val="en-US" w:eastAsia="zh-CN" w:bidi="ar"/>
              </w:rPr>
              <w:t>不再统计</w:t>
            </w:r>
          </w:p>
        </w:tc>
      </w:tr>
      <w:tr w14:paraId="6EF3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528" w:type="dxa"/>
            <w:vMerge w:val="continue"/>
            <w:noWrap/>
            <w:tcMar>
              <w:top w:w="15" w:type="dxa"/>
              <w:left w:w="15" w:type="dxa"/>
              <w:right w:w="15" w:type="dxa"/>
            </w:tcMar>
            <w:vAlign w:val="center"/>
          </w:tcPr>
          <w:p w14:paraId="61404F63">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43A4AE9B">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left"/>
              <w:textAlignment w:val="center"/>
              <w:rPr>
                <w:rFonts w:hint="default" w:ascii="Times New Roman" w:hAnsi="Times New Roman" w:eastAsia="宋体" w:cs="Times New Roman"/>
                <w:i w:val="0"/>
                <w:iCs w:val="0"/>
                <w:color w:val="0C0C0C"/>
                <w:kern w:val="2"/>
                <w:sz w:val="24"/>
                <w:szCs w:val="24"/>
                <w:highlight w:val="none"/>
                <w:u w:val="none"/>
                <w:lang w:val="en-US" w:eastAsia="zh-CN" w:bidi="ar-SA"/>
              </w:rPr>
            </w:pPr>
            <w:r>
              <w:rPr>
                <w:rFonts w:hint="default" w:ascii="Times New Roman" w:hAnsi="Times New Roman" w:eastAsia="宋体" w:cs="Times New Roman"/>
                <w:i w:val="0"/>
                <w:iCs w:val="0"/>
                <w:color w:val="0C0C0C"/>
                <w:kern w:val="0"/>
                <w:sz w:val="24"/>
                <w:szCs w:val="24"/>
                <w:highlight w:val="none"/>
                <w:u w:val="none"/>
                <w:lang w:val="en-US" w:eastAsia="zh-CN" w:bidi="ar"/>
              </w:rPr>
              <w:t>学前三年毛入学率（%）</w:t>
            </w:r>
          </w:p>
        </w:tc>
        <w:tc>
          <w:tcPr>
            <w:tcW w:w="799" w:type="dxa"/>
            <w:noWrap w:val="0"/>
            <w:tcMar>
              <w:top w:w="15" w:type="dxa"/>
              <w:left w:w="15" w:type="dxa"/>
              <w:right w:w="15" w:type="dxa"/>
            </w:tcMar>
            <w:vAlign w:val="center"/>
          </w:tcPr>
          <w:p w14:paraId="7924AD47">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99</w:t>
            </w:r>
          </w:p>
        </w:tc>
        <w:tc>
          <w:tcPr>
            <w:tcW w:w="682" w:type="dxa"/>
            <w:noWrap w:val="0"/>
            <w:tcMar>
              <w:top w:w="15" w:type="dxa"/>
              <w:left w:w="15" w:type="dxa"/>
              <w:right w:w="15" w:type="dxa"/>
            </w:tcMar>
            <w:vAlign w:val="center"/>
          </w:tcPr>
          <w:p w14:paraId="275AF6B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832" w:type="dxa"/>
            <w:noWrap w:val="0"/>
            <w:tcMar>
              <w:top w:w="15" w:type="dxa"/>
              <w:left w:w="15" w:type="dxa"/>
              <w:right w:w="15" w:type="dxa"/>
            </w:tcMar>
            <w:vAlign w:val="center"/>
          </w:tcPr>
          <w:p w14:paraId="11BF27F9">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99.52</w:t>
            </w:r>
          </w:p>
        </w:tc>
        <w:tc>
          <w:tcPr>
            <w:tcW w:w="833" w:type="dxa"/>
            <w:noWrap w:val="0"/>
            <w:tcMar>
              <w:top w:w="15" w:type="dxa"/>
              <w:left w:w="15" w:type="dxa"/>
              <w:right w:w="15" w:type="dxa"/>
            </w:tcMar>
            <w:vAlign w:val="center"/>
          </w:tcPr>
          <w:p w14:paraId="5F66D32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799" w:type="dxa"/>
            <w:noWrap w:val="0"/>
            <w:tcMar>
              <w:top w:w="15" w:type="dxa"/>
              <w:left w:w="15" w:type="dxa"/>
              <w:right w:w="15" w:type="dxa"/>
            </w:tcMar>
            <w:vAlign w:val="center"/>
          </w:tcPr>
          <w:p w14:paraId="01214404">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2"/>
                <w:sz w:val="24"/>
                <w:szCs w:val="24"/>
                <w:highlight w:val="none"/>
                <w:u w:val="none"/>
                <w:lang w:val="en-US" w:eastAsia="zh-CN" w:bidi="ar-SA"/>
              </w:rPr>
            </w:pPr>
            <w:r>
              <w:rPr>
                <w:rFonts w:hint="default" w:ascii="Times New Roman" w:hAnsi="Times New Roman" w:eastAsia="宋体" w:cs="Times New Roman"/>
                <w:i w:val="0"/>
                <w:iCs w:val="0"/>
                <w:color w:val="0C0C0C"/>
                <w:kern w:val="0"/>
                <w:sz w:val="24"/>
                <w:szCs w:val="24"/>
                <w:highlight w:val="none"/>
                <w:u w:val="none"/>
                <w:lang w:val="en-US" w:eastAsia="zh-CN" w:bidi="ar"/>
              </w:rPr>
              <w:t>预期性</w:t>
            </w:r>
          </w:p>
        </w:tc>
        <w:tc>
          <w:tcPr>
            <w:tcW w:w="1031" w:type="dxa"/>
            <w:noWrap w:val="0"/>
            <w:tcMar>
              <w:top w:w="15" w:type="dxa"/>
              <w:left w:w="15" w:type="dxa"/>
              <w:right w:w="15" w:type="dxa"/>
            </w:tcMar>
            <w:vAlign w:val="center"/>
          </w:tcPr>
          <w:p w14:paraId="0EE0E6D7">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0"/>
                <w:sz w:val="24"/>
                <w:szCs w:val="24"/>
                <w:highlight w:val="none"/>
                <w:u w:val="none"/>
                <w:lang w:val="en-US" w:eastAsia="zh-CN" w:bidi="ar"/>
              </w:rPr>
            </w:pPr>
          </w:p>
        </w:tc>
      </w:tr>
      <w:tr w14:paraId="0487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8" w:type="dxa"/>
            <w:vMerge w:val="continue"/>
            <w:noWrap/>
            <w:tcMar>
              <w:top w:w="15" w:type="dxa"/>
              <w:left w:w="15" w:type="dxa"/>
              <w:right w:w="15" w:type="dxa"/>
            </w:tcMar>
            <w:vAlign w:val="center"/>
          </w:tcPr>
          <w:p w14:paraId="697D13AE">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2CC8D353">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left"/>
              <w:textAlignment w:val="center"/>
              <w:rPr>
                <w:rFonts w:hint="default" w:ascii="Times New Roman" w:hAnsi="Times New Roman" w:eastAsia="宋体" w:cs="Times New Roman"/>
                <w:i w:val="0"/>
                <w:iCs w:val="0"/>
                <w:color w:val="0C0C0C"/>
                <w:kern w:val="2"/>
                <w:sz w:val="24"/>
                <w:szCs w:val="24"/>
                <w:highlight w:val="none"/>
                <w:u w:val="none"/>
                <w:lang w:val="en-US" w:eastAsia="zh-CN" w:bidi="ar-SA"/>
              </w:rPr>
            </w:pPr>
            <w:r>
              <w:rPr>
                <w:rFonts w:hint="default" w:ascii="Times New Roman" w:hAnsi="Times New Roman" w:eastAsia="宋体" w:cs="Times New Roman"/>
                <w:i w:val="0"/>
                <w:iCs w:val="0"/>
                <w:color w:val="0C0C0C"/>
                <w:kern w:val="0"/>
                <w:sz w:val="24"/>
                <w:szCs w:val="24"/>
                <w:highlight w:val="none"/>
                <w:u w:val="none"/>
                <w:lang w:val="en-US" w:eastAsia="zh-CN" w:bidi="ar"/>
              </w:rPr>
              <w:t>高中阶段毛入学率（%）</w:t>
            </w:r>
          </w:p>
        </w:tc>
        <w:tc>
          <w:tcPr>
            <w:tcW w:w="799" w:type="dxa"/>
            <w:noWrap w:val="0"/>
            <w:tcMar>
              <w:top w:w="15" w:type="dxa"/>
              <w:left w:w="15" w:type="dxa"/>
              <w:right w:w="15" w:type="dxa"/>
            </w:tcMar>
            <w:vAlign w:val="center"/>
          </w:tcPr>
          <w:p w14:paraId="58878C6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rPr>
            </w:pPr>
            <w:r>
              <w:rPr>
                <w:rFonts w:hint="default" w:ascii="Times New Roman" w:hAnsi="Times New Roman" w:eastAsia="宋体" w:cs="Times New Roman"/>
                <w:b w:val="0"/>
                <w:i w:val="0"/>
                <w:color w:val="auto"/>
                <w:sz w:val="24"/>
                <w:szCs w:val="24"/>
                <w:rtl w:val="0"/>
                <w:lang w:val="en-US" w:eastAsia="zh-CN"/>
              </w:rPr>
              <w:t>≥98.5</w:t>
            </w:r>
          </w:p>
        </w:tc>
        <w:tc>
          <w:tcPr>
            <w:tcW w:w="682" w:type="dxa"/>
            <w:noWrap w:val="0"/>
            <w:tcMar>
              <w:top w:w="15" w:type="dxa"/>
              <w:left w:w="15" w:type="dxa"/>
              <w:right w:w="15" w:type="dxa"/>
            </w:tcMar>
            <w:vAlign w:val="center"/>
          </w:tcPr>
          <w:p w14:paraId="728FE54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832" w:type="dxa"/>
            <w:noWrap w:val="0"/>
            <w:tcMar>
              <w:top w:w="15" w:type="dxa"/>
              <w:left w:w="15" w:type="dxa"/>
              <w:right w:w="15" w:type="dxa"/>
            </w:tcMar>
            <w:vAlign w:val="center"/>
          </w:tcPr>
          <w:p w14:paraId="53446B0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98.52</w:t>
            </w:r>
          </w:p>
        </w:tc>
        <w:tc>
          <w:tcPr>
            <w:tcW w:w="833" w:type="dxa"/>
            <w:noWrap w:val="0"/>
            <w:tcMar>
              <w:top w:w="15" w:type="dxa"/>
              <w:left w:w="15" w:type="dxa"/>
              <w:right w:w="15" w:type="dxa"/>
            </w:tcMar>
            <w:vAlign w:val="center"/>
          </w:tcPr>
          <w:p w14:paraId="6034F46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799" w:type="dxa"/>
            <w:noWrap w:val="0"/>
            <w:tcMar>
              <w:top w:w="15" w:type="dxa"/>
              <w:left w:w="15" w:type="dxa"/>
              <w:right w:w="15" w:type="dxa"/>
            </w:tcMar>
            <w:vAlign w:val="center"/>
          </w:tcPr>
          <w:p w14:paraId="160BC935">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2"/>
                <w:sz w:val="24"/>
                <w:szCs w:val="24"/>
                <w:highlight w:val="none"/>
                <w:u w:val="none"/>
                <w:lang w:val="en-US" w:eastAsia="zh-CN" w:bidi="ar-SA"/>
              </w:rPr>
            </w:pPr>
            <w:r>
              <w:rPr>
                <w:rFonts w:hint="default" w:ascii="Times New Roman" w:hAnsi="Times New Roman" w:eastAsia="宋体" w:cs="Times New Roman"/>
                <w:i w:val="0"/>
                <w:iCs w:val="0"/>
                <w:color w:val="0C0C0C"/>
                <w:kern w:val="0"/>
                <w:sz w:val="24"/>
                <w:szCs w:val="24"/>
                <w:highlight w:val="none"/>
                <w:u w:val="none"/>
                <w:lang w:val="en-US" w:eastAsia="zh-CN" w:bidi="ar"/>
              </w:rPr>
              <w:t>预期性</w:t>
            </w:r>
          </w:p>
        </w:tc>
        <w:tc>
          <w:tcPr>
            <w:tcW w:w="1031" w:type="dxa"/>
            <w:noWrap w:val="0"/>
            <w:tcMar>
              <w:top w:w="15" w:type="dxa"/>
              <w:left w:w="15" w:type="dxa"/>
              <w:right w:w="15" w:type="dxa"/>
            </w:tcMar>
            <w:vAlign w:val="center"/>
          </w:tcPr>
          <w:p w14:paraId="57E747A3">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0"/>
                <w:sz w:val="24"/>
                <w:szCs w:val="24"/>
                <w:highlight w:val="none"/>
                <w:u w:val="none"/>
                <w:lang w:val="en-US" w:eastAsia="zh-CN" w:bidi="ar"/>
              </w:rPr>
            </w:pPr>
          </w:p>
        </w:tc>
      </w:tr>
      <w:tr w14:paraId="475F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528" w:type="dxa"/>
            <w:vMerge w:val="continue"/>
            <w:noWrap/>
            <w:tcMar>
              <w:top w:w="15" w:type="dxa"/>
              <w:left w:w="15" w:type="dxa"/>
              <w:right w:w="15" w:type="dxa"/>
            </w:tcMar>
            <w:vAlign w:val="center"/>
          </w:tcPr>
          <w:p w14:paraId="6111227A">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0ACBAE9A">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left"/>
              <w:textAlignment w:val="center"/>
              <w:rPr>
                <w:rFonts w:hint="default" w:ascii="Times New Roman" w:hAnsi="Times New Roman" w:eastAsia="宋体" w:cs="Times New Roman"/>
                <w:i w:val="0"/>
                <w:iCs w:val="0"/>
                <w:color w:val="0C0C0C"/>
                <w:kern w:val="2"/>
                <w:sz w:val="24"/>
                <w:szCs w:val="24"/>
                <w:u w:val="none"/>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劳动年龄人口平均受教育年限（年）</w:t>
            </w:r>
          </w:p>
        </w:tc>
        <w:tc>
          <w:tcPr>
            <w:tcW w:w="799" w:type="dxa"/>
            <w:noWrap w:val="0"/>
            <w:tcMar>
              <w:top w:w="15" w:type="dxa"/>
              <w:left w:w="15" w:type="dxa"/>
              <w:right w:w="15" w:type="dxa"/>
            </w:tcMar>
            <w:vAlign w:val="center"/>
          </w:tcPr>
          <w:p w14:paraId="7319AE27">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14</w:t>
            </w:r>
          </w:p>
        </w:tc>
        <w:tc>
          <w:tcPr>
            <w:tcW w:w="682" w:type="dxa"/>
            <w:noWrap w:val="0"/>
            <w:tcMar>
              <w:top w:w="15" w:type="dxa"/>
              <w:left w:w="15" w:type="dxa"/>
              <w:right w:w="15" w:type="dxa"/>
            </w:tcMar>
            <w:vAlign w:val="center"/>
          </w:tcPr>
          <w:p w14:paraId="449F301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832" w:type="dxa"/>
            <w:noWrap w:val="0"/>
            <w:tcMar>
              <w:top w:w="15" w:type="dxa"/>
              <w:left w:w="15" w:type="dxa"/>
              <w:right w:w="15" w:type="dxa"/>
            </w:tcMar>
            <w:vAlign w:val="center"/>
          </w:tcPr>
          <w:p w14:paraId="45655EF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14.02</w:t>
            </w:r>
          </w:p>
        </w:tc>
        <w:tc>
          <w:tcPr>
            <w:tcW w:w="833" w:type="dxa"/>
            <w:noWrap w:val="0"/>
            <w:tcMar>
              <w:top w:w="15" w:type="dxa"/>
              <w:left w:w="15" w:type="dxa"/>
              <w:right w:w="15" w:type="dxa"/>
            </w:tcMar>
            <w:vAlign w:val="center"/>
          </w:tcPr>
          <w:p w14:paraId="0F1EE5B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799" w:type="dxa"/>
            <w:noWrap w:val="0"/>
            <w:tcMar>
              <w:top w:w="15" w:type="dxa"/>
              <w:left w:w="15" w:type="dxa"/>
              <w:right w:w="15" w:type="dxa"/>
            </w:tcMar>
            <w:vAlign w:val="center"/>
          </w:tcPr>
          <w:p w14:paraId="749835BC">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2"/>
                <w:sz w:val="24"/>
                <w:szCs w:val="24"/>
                <w:u w:val="none"/>
                <w:lang w:val="en-US" w:eastAsia="zh-CN" w:bidi="ar-SA"/>
              </w:rPr>
            </w:pPr>
            <w:r>
              <w:rPr>
                <w:rFonts w:hint="default" w:ascii="Times New Roman" w:hAnsi="Times New Roman" w:eastAsia="宋体" w:cs="Times New Roman"/>
                <w:color w:val="0C0C0C"/>
                <w:sz w:val="24"/>
                <w:szCs w:val="24"/>
                <w:lang w:val="en-US" w:eastAsia="zh-CN" w:bidi="ar"/>
              </w:rPr>
              <w:t>预期性</w:t>
            </w:r>
          </w:p>
        </w:tc>
        <w:tc>
          <w:tcPr>
            <w:tcW w:w="1031" w:type="dxa"/>
            <w:noWrap w:val="0"/>
            <w:tcMar>
              <w:top w:w="15" w:type="dxa"/>
              <w:left w:w="15" w:type="dxa"/>
              <w:right w:w="15" w:type="dxa"/>
            </w:tcMar>
            <w:vAlign w:val="center"/>
          </w:tcPr>
          <w:p w14:paraId="02701A91">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r>
      <w:tr w14:paraId="2AC3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528" w:type="dxa"/>
            <w:vMerge w:val="continue"/>
            <w:noWrap/>
            <w:tcMar>
              <w:top w:w="15" w:type="dxa"/>
              <w:left w:w="15" w:type="dxa"/>
              <w:right w:w="15" w:type="dxa"/>
            </w:tcMar>
            <w:vAlign w:val="center"/>
          </w:tcPr>
          <w:p w14:paraId="71DE2106">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5512325A">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left"/>
              <w:textAlignment w:val="center"/>
              <w:rPr>
                <w:rFonts w:hint="default" w:ascii="Times New Roman" w:hAnsi="Times New Roman" w:eastAsia="宋体" w:cs="Times New Roman"/>
                <w:i w:val="0"/>
                <w:iCs w:val="0"/>
                <w:color w:val="0C0C0C"/>
                <w:kern w:val="2"/>
                <w:sz w:val="24"/>
                <w:szCs w:val="24"/>
                <w:highlight w:val="none"/>
                <w:u w:val="none"/>
                <w:lang w:val="en-US" w:eastAsia="zh-CN" w:bidi="ar-SA"/>
              </w:rPr>
            </w:pPr>
            <w:r>
              <w:rPr>
                <w:rFonts w:hint="default" w:ascii="Times New Roman" w:hAnsi="Times New Roman" w:eastAsia="宋体" w:cs="Times New Roman"/>
                <w:i w:val="0"/>
                <w:iCs w:val="0"/>
                <w:color w:val="0C0C0C"/>
                <w:kern w:val="0"/>
                <w:sz w:val="24"/>
                <w:szCs w:val="24"/>
                <w:highlight w:val="none"/>
                <w:u w:val="none"/>
                <w:lang w:val="en-US" w:eastAsia="zh-CN" w:bidi="ar"/>
              </w:rPr>
              <w:t>城乡居民基本养老保险参保率（%）</w:t>
            </w:r>
          </w:p>
        </w:tc>
        <w:tc>
          <w:tcPr>
            <w:tcW w:w="799" w:type="dxa"/>
            <w:noWrap w:val="0"/>
            <w:tcMar>
              <w:top w:w="15" w:type="dxa"/>
              <w:left w:w="15" w:type="dxa"/>
              <w:right w:w="15" w:type="dxa"/>
            </w:tcMar>
            <w:vAlign w:val="center"/>
          </w:tcPr>
          <w:p w14:paraId="0C8A79A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rPr>
            </w:pPr>
            <w:r>
              <w:rPr>
                <w:rFonts w:hint="default" w:ascii="Times New Roman" w:hAnsi="Times New Roman" w:eastAsia="宋体" w:cs="Times New Roman"/>
                <w:b w:val="0"/>
                <w:i w:val="0"/>
                <w:color w:val="auto"/>
                <w:sz w:val="24"/>
                <w:szCs w:val="24"/>
                <w:rtl w:val="0"/>
                <w:lang w:val="en-US" w:eastAsia="zh-CN"/>
              </w:rPr>
              <w:t>≥99</w:t>
            </w:r>
          </w:p>
        </w:tc>
        <w:tc>
          <w:tcPr>
            <w:tcW w:w="682" w:type="dxa"/>
            <w:noWrap w:val="0"/>
            <w:tcMar>
              <w:top w:w="15" w:type="dxa"/>
              <w:left w:w="15" w:type="dxa"/>
              <w:right w:w="15" w:type="dxa"/>
            </w:tcMar>
            <w:vAlign w:val="center"/>
          </w:tcPr>
          <w:p w14:paraId="436ED21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832" w:type="dxa"/>
            <w:noWrap w:val="0"/>
            <w:tcMar>
              <w:top w:w="15" w:type="dxa"/>
              <w:left w:w="15" w:type="dxa"/>
              <w:right w:w="15" w:type="dxa"/>
            </w:tcMar>
            <w:vAlign w:val="center"/>
          </w:tcPr>
          <w:p w14:paraId="7F0E80F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rPr>
            </w:pPr>
            <w:r>
              <w:rPr>
                <w:rFonts w:hint="default" w:ascii="Times New Roman" w:hAnsi="Times New Roman" w:eastAsia="宋体" w:cs="Times New Roman"/>
                <w:b w:val="0"/>
                <w:i w:val="0"/>
                <w:color w:val="auto"/>
                <w:sz w:val="24"/>
                <w:szCs w:val="24"/>
                <w:rtl w:val="0"/>
                <w:lang w:val="en-US" w:eastAsia="zh-CN"/>
              </w:rPr>
              <w:t>≥99</w:t>
            </w:r>
          </w:p>
        </w:tc>
        <w:tc>
          <w:tcPr>
            <w:tcW w:w="833" w:type="dxa"/>
            <w:noWrap w:val="0"/>
            <w:tcMar>
              <w:top w:w="15" w:type="dxa"/>
              <w:left w:w="15" w:type="dxa"/>
              <w:right w:w="15" w:type="dxa"/>
            </w:tcMar>
            <w:vAlign w:val="center"/>
          </w:tcPr>
          <w:p w14:paraId="34362BA7">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799" w:type="dxa"/>
            <w:noWrap w:val="0"/>
            <w:tcMar>
              <w:top w:w="15" w:type="dxa"/>
              <w:left w:w="15" w:type="dxa"/>
              <w:right w:w="15" w:type="dxa"/>
            </w:tcMar>
            <w:vAlign w:val="center"/>
          </w:tcPr>
          <w:p w14:paraId="3AC09625">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2"/>
                <w:sz w:val="24"/>
                <w:szCs w:val="24"/>
                <w:highlight w:val="none"/>
                <w:u w:val="none"/>
                <w:lang w:val="en-US" w:eastAsia="zh-CN" w:bidi="ar-SA"/>
              </w:rPr>
            </w:pPr>
            <w:r>
              <w:rPr>
                <w:rFonts w:hint="default" w:ascii="Times New Roman" w:hAnsi="Times New Roman" w:eastAsia="宋体" w:cs="Times New Roman"/>
                <w:color w:val="0C0C0C"/>
                <w:sz w:val="24"/>
                <w:szCs w:val="24"/>
                <w:highlight w:val="none"/>
                <w:lang w:val="en-US" w:eastAsia="zh-CN" w:bidi="ar"/>
              </w:rPr>
              <w:t>预期性</w:t>
            </w:r>
          </w:p>
        </w:tc>
        <w:tc>
          <w:tcPr>
            <w:tcW w:w="1031" w:type="dxa"/>
            <w:noWrap w:val="0"/>
            <w:tcMar>
              <w:top w:w="15" w:type="dxa"/>
              <w:left w:w="15" w:type="dxa"/>
              <w:right w:w="15" w:type="dxa"/>
            </w:tcMar>
            <w:vAlign w:val="center"/>
          </w:tcPr>
          <w:p w14:paraId="33D2D6FB">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highlight w:val="none"/>
                <w:lang w:val="en-US" w:eastAsia="zh-CN" w:bidi="ar"/>
              </w:rPr>
            </w:pPr>
          </w:p>
        </w:tc>
      </w:tr>
      <w:tr w14:paraId="3A38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528" w:type="dxa"/>
            <w:vMerge w:val="continue"/>
            <w:noWrap/>
            <w:tcMar>
              <w:top w:w="15" w:type="dxa"/>
              <w:left w:w="15" w:type="dxa"/>
              <w:right w:w="15" w:type="dxa"/>
            </w:tcMar>
            <w:vAlign w:val="center"/>
          </w:tcPr>
          <w:p w14:paraId="194F1EBF">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59E88ACF">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left"/>
              <w:textAlignment w:val="center"/>
              <w:rPr>
                <w:rFonts w:hint="default" w:ascii="Times New Roman" w:hAnsi="Times New Roman" w:eastAsia="宋体" w:cs="Times New Roman"/>
                <w:i w:val="0"/>
                <w:iCs w:val="0"/>
                <w:color w:val="0C0C0C"/>
                <w:kern w:val="2"/>
                <w:sz w:val="24"/>
                <w:szCs w:val="24"/>
                <w:highlight w:val="none"/>
                <w:u w:val="none"/>
                <w:lang w:val="en-US" w:eastAsia="zh-CN" w:bidi="ar-SA"/>
              </w:rPr>
            </w:pPr>
            <w:r>
              <w:rPr>
                <w:rFonts w:hint="default" w:ascii="Times New Roman" w:hAnsi="Times New Roman" w:eastAsia="宋体" w:cs="Times New Roman"/>
                <w:i w:val="0"/>
                <w:iCs w:val="0"/>
                <w:color w:val="0C0C0C"/>
                <w:kern w:val="0"/>
                <w:sz w:val="24"/>
                <w:szCs w:val="24"/>
                <w:highlight w:val="none"/>
                <w:u w:val="none"/>
                <w:lang w:val="en-US" w:eastAsia="zh-CN" w:bidi="ar"/>
              </w:rPr>
              <w:t>城乡居民基本医疗参保率（%）</w:t>
            </w:r>
          </w:p>
        </w:tc>
        <w:tc>
          <w:tcPr>
            <w:tcW w:w="799" w:type="dxa"/>
            <w:noWrap w:val="0"/>
            <w:tcMar>
              <w:top w:w="15" w:type="dxa"/>
              <w:left w:w="15" w:type="dxa"/>
              <w:right w:w="15" w:type="dxa"/>
            </w:tcMar>
            <w:vAlign w:val="center"/>
          </w:tcPr>
          <w:p w14:paraId="692920A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rPr>
            </w:pPr>
            <w:r>
              <w:rPr>
                <w:rFonts w:hint="default" w:ascii="Times New Roman" w:hAnsi="Times New Roman" w:eastAsia="宋体" w:cs="Times New Roman"/>
                <w:b w:val="0"/>
                <w:i w:val="0"/>
                <w:color w:val="auto"/>
                <w:sz w:val="24"/>
                <w:szCs w:val="24"/>
                <w:rtl w:val="0"/>
                <w:lang w:val="en-US" w:eastAsia="zh-CN"/>
              </w:rPr>
              <w:t>≥99</w:t>
            </w:r>
          </w:p>
        </w:tc>
        <w:tc>
          <w:tcPr>
            <w:tcW w:w="682" w:type="dxa"/>
            <w:noWrap w:val="0"/>
            <w:tcMar>
              <w:top w:w="15" w:type="dxa"/>
              <w:left w:w="15" w:type="dxa"/>
              <w:right w:w="15" w:type="dxa"/>
            </w:tcMar>
            <w:vAlign w:val="center"/>
          </w:tcPr>
          <w:p w14:paraId="03417F2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832" w:type="dxa"/>
            <w:noWrap w:val="0"/>
            <w:tcMar>
              <w:top w:w="15" w:type="dxa"/>
              <w:left w:w="15" w:type="dxa"/>
              <w:right w:w="15" w:type="dxa"/>
            </w:tcMar>
            <w:vAlign w:val="center"/>
          </w:tcPr>
          <w:p w14:paraId="0170A73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rPr>
            </w:pPr>
            <w:r>
              <w:rPr>
                <w:rFonts w:hint="default" w:ascii="Times New Roman" w:hAnsi="Times New Roman" w:eastAsia="宋体" w:cs="Times New Roman"/>
                <w:b w:val="0"/>
                <w:i w:val="0"/>
                <w:color w:val="auto"/>
                <w:sz w:val="24"/>
                <w:szCs w:val="24"/>
                <w:rtl w:val="0"/>
                <w:lang w:val="en-US" w:eastAsia="zh-CN"/>
              </w:rPr>
              <w:t>≥98</w:t>
            </w:r>
          </w:p>
        </w:tc>
        <w:tc>
          <w:tcPr>
            <w:tcW w:w="833" w:type="dxa"/>
            <w:noWrap w:val="0"/>
            <w:tcMar>
              <w:top w:w="15" w:type="dxa"/>
              <w:left w:w="15" w:type="dxa"/>
              <w:right w:w="15" w:type="dxa"/>
            </w:tcMar>
            <w:vAlign w:val="center"/>
          </w:tcPr>
          <w:p w14:paraId="6790520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799" w:type="dxa"/>
            <w:noWrap w:val="0"/>
            <w:tcMar>
              <w:top w:w="15" w:type="dxa"/>
              <w:left w:w="15" w:type="dxa"/>
              <w:right w:w="15" w:type="dxa"/>
            </w:tcMar>
            <w:vAlign w:val="center"/>
          </w:tcPr>
          <w:p w14:paraId="195227C3">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2"/>
                <w:sz w:val="24"/>
                <w:szCs w:val="24"/>
                <w:highlight w:val="none"/>
                <w:u w:val="none"/>
                <w:lang w:val="en-US" w:eastAsia="zh-CN" w:bidi="ar-SA"/>
              </w:rPr>
            </w:pPr>
            <w:r>
              <w:rPr>
                <w:rFonts w:hint="default" w:ascii="Times New Roman" w:hAnsi="Times New Roman" w:eastAsia="宋体" w:cs="Times New Roman"/>
                <w:color w:val="0C0C0C"/>
                <w:sz w:val="24"/>
                <w:szCs w:val="24"/>
                <w:highlight w:val="none"/>
                <w:lang w:val="en-US" w:eastAsia="zh-CN" w:bidi="ar"/>
              </w:rPr>
              <w:t>预期性</w:t>
            </w:r>
          </w:p>
        </w:tc>
        <w:tc>
          <w:tcPr>
            <w:tcW w:w="1031" w:type="dxa"/>
            <w:noWrap w:val="0"/>
            <w:tcMar>
              <w:top w:w="15" w:type="dxa"/>
              <w:left w:w="15" w:type="dxa"/>
              <w:right w:w="15" w:type="dxa"/>
            </w:tcMar>
            <w:vAlign w:val="center"/>
          </w:tcPr>
          <w:p w14:paraId="4E104B9E">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highlight w:val="none"/>
                <w:lang w:val="en-US" w:eastAsia="zh-CN" w:bidi="ar"/>
              </w:rPr>
            </w:pPr>
          </w:p>
        </w:tc>
      </w:tr>
      <w:tr w14:paraId="3903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jc w:val="center"/>
        </w:trPr>
        <w:tc>
          <w:tcPr>
            <w:tcW w:w="528" w:type="dxa"/>
            <w:vMerge w:val="continue"/>
            <w:noWrap/>
            <w:tcMar>
              <w:top w:w="15" w:type="dxa"/>
              <w:left w:w="15" w:type="dxa"/>
              <w:right w:w="15" w:type="dxa"/>
            </w:tcMar>
            <w:vAlign w:val="center"/>
          </w:tcPr>
          <w:p w14:paraId="53B1C5C2">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6BA7E9CB">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left"/>
              <w:textAlignment w:val="center"/>
              <w:rPr>
                <w:rFonts w:hint="default" w:ascii="Times New Roman" w:hAnsi="Times New Roman" w:eastAsia="宋体" w:cs="Times New Roman"/>
                <w:i w:val="0"/>
                <w:iCs w:val="0"/>
                <w:color w:val="0C0C0C"/>
                <w:kern w:val="2"/>
                <w:sz w:val="24"/>
                <w:szCs w:val="24"/>
                <w:u w:val="none"/>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每千人拥有医疗床位数（张）</w:t>
            </w:r>
          </w:p>
        </w:tc>
        <w:tc>
          <w:tcPr>
            <w:tcW w:w="799" w:type="dxa"/>
            <w:noWrap w:val="0"/>
            <w:tcMar>
              <w:top w:w="15" w:type="dxa"/>
              <w:left w:w="15" w:type="dxa"/>
              <w:right w:w="15" w:type="dxa"/>
            </w:tcMar>
            <w:vAlign w:val="center"/>
          </w:tcPr>
          <w:p w14:paraId="7517C2A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14</w:t>
            </w:r>
          </w:p>
        </w:tc>
        <w:tc>
          <w:tcPr>
            <w:tcW w:w="682" w:type="dxa"/>
            <w:noWrap w:val="0"/>
            <w:tcMar>
              <w:top w:w="15" w:type="dxa"/>
              <w:left w:w="15" w:type="dxa"/>
              <w:right w:w="15" w:type="dxa"/>
            </w:tcMar>
            <w:vAlign w:val="center"/>
          </w:tcPr>
          <w:p w14:paraId="2CD1904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832" w:type="dxa"/>
            <w:noWrap w:val="0"/>
            <w:tcMar>
              <w:top w:w="15" w:type="dxa"/>
              <w:left w:w="15" w:type="dxa"/>
              <w:right w:w="15" w:type="dxa"/>
            </w:tcMar>
            <w:vAlign w:val="center"/>
          </w:tcPr>
          <w:p w14:paraId="620E295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14.4</w:t>
            </w:r>
          </w:p>
        </w:tc>
        <w:tc>
          <w:tcPr>
            <w:tcW w:w="833" w:type="dxa"/>
            <w:noWrap w:val="0"/>
            <w:tcMar>
              <w:top w:w="15" w:type="dxa"/>
              <w:left w:w="15" w:type="dxa"/>
              <w:right w:w="15" w:type="dxa"/>
            </w:tcMar>
            <w:vAlign w:val="center"/>
          </w:tcPr>
          <w:p w14:paraId="39931E8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799" w:type="dxa"/>
            <w:noWrap w:val="0"/>
            <w:tcMar>
              <w:top w:w="15" w:type="dxa"/>
              <w:left w:w="15" w:type="dxa"/>
              <w:right w:w="15" w:type="dxa"/>
            </w:tcMar>
            <w:vAlign w:val="center"/>
          </w:tcPr>
          <w:p w14:paraId="1E316562">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2"/>
                <w:sz w:val="24"/>
                <w:szCs w:val="24"/>
                <w:u w:val="none"/>
                <w:lang w:val="en-US" w:eastAsia="zh-CN" w:bidi="ar-SA"/>
              </w:rPr>
            </w:pPr>
            <w:r>
              <w:rPr>
                <w:rFonts w:hint="default" w:ascii="Times New Roman" w:hAnsi="Times New Roman" w:eastAsia="宋体" w:cs="Times New Roman"/>
                <w:color w:val="0C0C0C"/>
                <w:sz w:val="24"/>
                <w:szCs w:val="24"/>
                <w:lang w:val="en-US" w:eastAsia="zh-CN" w:bidi="ar"/>
              </w:rPr>
              <w:t>预期性</w:t>
            </w:r>
          </w:p>
        </w:tc>
        <w:tc>
          <w:tcPr>
            <w:tcW w:w="1031" w:type="dxa"/>
            <w:noWrap w:val="0"/>
            <w:tcMar>
              <w:top w:w="15" w:type="dxa"/>
              <w:left w:w="15" w:type="dxa"/>
              <w:right w:w="15" w:type="dxa"/>
            </w:tcMar>
            <w:vAlign w:val="center"/>
          </w:tcPr>
          <w:p w14:paraId="7217EE5D">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r>
      <w:tr w14:paraId="199A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528" w:type="dxa"/>
            <w:vMerge w:val="continue"/>
            <w:noWrap/>
            <w:tcMar>
              <w:top w:w="15" w:type="dxa"/>
              <w:left w:w="15" w:type="dxa"/>
              <w:right w:w="15" w:type="dxa"/>
            </w:tcMar>
            <w:vAlign w:val="center"/>
          </w:tcPr>
          <w:p w14:paraId="19C9DE20">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51D7E257">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left"/>
              <w:textAlignment w:val="center"/>
              <w:rPr>
                <w:rFonts w:hint="default" w:ascii="Times New Roman" w:hAnsi="Times New Roman" w:eastAsia="宋体" w:cs="Times New Roman"/>
                <w:i w:val="0"/>
                <w:iCs w:val="0"/>
                <w:color w:val="0C0C0C"/>
                <w:kern w:val="2"/>
                <w:sz w:val="24"/>
                <w:szCs w:val="24"/>
                <w:u w:val="none"/>
                <w:lang w:val="en-US" w:eastAsia="zh-CN" w:bidi="ar-SA"/>
              </w:rPr>
            </w:pPr>
            <w:r>
              <w:rPr>
                <w:rFonts w:hint="default" w:ascii="Times New Roman" w:hAnsi="Times New Roman" w:eastAsia="宋体" w:cs="Times New Roman"/>
                <w:i w:val="0"/>
                <w:iCs w:val="0"/>
                <w:color w:val="0C0C0C"/>
                <w:kern w:val="0"/>
                <w:sz w:val="24"/>
                <w:szCs w:val="24"/>
                <w:u w:val="none"/>
                <w:lang w:val="en-US" w:eastAsia="zh-CN" w:bidi="ar"/>
              </w:rPr>
              <w:t>每千人拥有执业医师（助理）人数（人）</w:t>
            </w:r>
          </w:p>
        </w:tc>
        <w:tc>
          <w:tcPr>
            <w:tcW w:w="799" w:type="dxa"/>
            <w:noWrap w:val="0"/>
            <w:tcMar>
              <w:top w:w="15" w:type="dxa"/>
              <w:left w:w="15" w:type="dxa"/>
              <w:right w:w="15" w:type="dxa"/>
            </w:tcMar>
            <w:vAlign w:val="center"/>
          </w:tcPr>
          <w:p w14:paraId="23AB040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4.8</w:t>
            </w:r>
          </w:p>
        </w:tc>
        <w:tc>
          <w:tcPr>
            <w:tcW w:w="682" w:type="dxa"/>
            <w:noWrap w:val="0"/>
            <w:tcMar>
              <w:top w:w="15" w:type="dxa"/>
              <w:left w:w="15" w:type="dxa"/>
              <w:right w:w="15" w:type="dxa"/>
            </w:tcMar>
            <w:vAlign w:val="center"/>
          </w:tcPr>
          <w:p w14:paraId="18B2968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832" w:type="dxa"/>
            <w:noWrap w:val="0"/>
            <w:tcMar>
              <w:top w:w="15" w:type="dxa"/>
              <w:left w:w="15" w:type="dxa"/>
              <w:right w:w="15" w:type="dxa"/>
            </w:tcMar>
            <w:vAlign w:val="center"/>
          </w:tcPr>
          <w:p w14:paraId="672F6C99">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4.8</w:t>
            </w:r>
          </w:p>
        </w:tc>
        <w:tc>
          <w:tcPr>
            <w:tcW w:w="833" w:type="dxa"/>
            <w:noWrap w:val="0"/>
            <w:tcMar>
              <w:top w:w="15" w:type="dxa"/>
              <w:left w:w="15" w:type="dxa"/>
              <w:right w:w="15" w:type="dxa"/>
            </w:tcMar>
            <w:vAlign w:val="center"/>
          </w:tcPr>
          <w:p w14:paraId="26BE748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799" w:type="dxa"/>
            <w:noWrap w:val="0"/>
            <w:tcMar>
              <w:top w:w="15" w:type="dxa"/>
              <w:left w:w="15" w:type="dxa"/>
              <w:right w:w="15" w:type="dxa"/>
            </w:tcMar>
            <w:vAlign w:val="center"/>
          </w:tcPr>
          <w:p w14:paraId="73DBA03B">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i w:val="0"/>
                <w:iCs w:val="0"/>
                <w:color w:val="0C0C0C"/>
                <w:kern w:val="2"/>
                <w:sz w:val="24"/>
                <w:szCs w:val="24"/>
                <w:u w:val="none"/>
                <w:lang w:val="en-US" w:eastAsia="zh-CN" w:bidi="ar-SA"/>
              </w:rPr>
            </w:pPr>
            <w:r>
              <w:rPr>
                <w:rFonts w:hint="default" w:ascii="Times New Roman" w:hAnsi="Times New Roman" w:eastAsia="宋体" w:cs="Times New Roman"/>
                <w:color w:val="0C0C0C"/>
                <w:sz w:val="24"/>
                <w:szCs w:val="24"/>
                <w:lang w:val="en-US" w:eastAsia="zh-CN" w:bidi="ar"/>
              </w:rPr>
              <w:t>预期性</w:t>
            </w:r>
          </w:p>
        </w:tc>
        <w:tc>
          <w:tcPr>
            <w:tcW w:w="1031" w:type="dxa"/>
            <w:noWrap w:val="0"/>
            <w:tcMar>
              <w:top w:w="15" w:type="dxa"/>
              <w:left w:w="15" w:type="dxa"/>
              <w:right w:w="15" w:type="dxa"/>
            </w:tcMar>
            <w:vAlign w:val="center"/>
          </w:tcPr>
          <w:p w14:paraId="5864C361">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宋体" w:cs="Times New Roman"/>
                <w:color w:val="0C0C0C"/>
                <w:sz w:val="24"/>
                <w:szCs w:val="24"/>
                <w:lang w:val="en-US" w:eastAsia="zh-CN" w:bidi="ar"/>
              </w:rPr>
            </w:pPr>
          </w:p>
        </w:tc>
      </w:tr>
      <w:tr w14:paraId="12C7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528" w:type="dxa"/>
            <w:vMerge w:val="continue"/>
            <w:noWrap/>
            <w:tcMar>
              <w:top w:w="15" w:type="dxa"/>
              <w:left w:w="15" w:type="dxa"/>
              <w:right w:w="15" w:type="dxa"/>
            </w:tcMar>
            <w:vAlign w:val="center"/>
          </w:tcPr>
          <w:p w14:paraId="6FFA32AC">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highlight w:val="none"/>
                <w:lang w:val="en-US" w:eastAsia="zh-CN"/>
              </w:rPr>
            </w:pPr>
          </w:p>
        </w:tc>
        <w:tc>
          <w:tcPr>
            <w:tcW w:w="3993" w:type="dxa"/>
            <w:noWrap w:val="0"/>
            <w:tcMar>
              <w:top w:w="15" w:type="dxa"/>
              <w:left w:w="15" w:type="dxa"/>
              <w:right w:w="15" w:type="dxa"/>
            </w:tcMar>
            <w:vAlign w:val="center"/>
          </w:tcPr>
          <w:p w14:paraId="0CE80963">
            <w:pPr>
              <w:keepNext w:val="0"/>
              <w:keepLines w:val="0"/>
              <w:pageBreakBefore w:val="0"/>
              <w:widowControl w:val="0"/>
              <w:suppressLineNumbers w:val="0"/>
              <w:kinsoku/>
              <w:wordWrap/>
              <w:overflowPunct/>
              <w:topLinePunct w:val="0"/>
              <w:autoSpaceDE/>
              <w:autoSpaceDN/>
              <w:bidi w:val="0"/>
              <w:adjustRightInd/>
              <w:snapToGrid/>
              <w:spacing w:line="360" w:lineRule="exact"/>
              <w:ind w:firstLine="0" w:firstLineChars="0"/>
              <w:jc w:val="left"/>
              <w:textAlignment w:val="center"/>
              <w:rPr>
                <w:rFonts w:hint="default" w:ascii="Times New Roman" w:hAnsi="Times New Roman" w:eastAsia="宋体" w:cs="Times New Roman"/>
                <w:i w:val="0"/>
                <w:iCs w:val="0"/>
                <w:color w:val="0C0C0C"/>
                <w:kern w:val="2"/>
                <w:sz w:val="24"/>
                <w:szCs w:val="24"/>
                <w:highlight w:val="none"/>
                <w:u w:val="none"/>
                <w:lang w:val="en-US" w:eastAsia="zh-CN" w:bidi="ar-SA"/>
              </w:rPr>
            </w:pPr>
            <w:r>
              <w:rPr>
                <w:rFonts w:hint="default" w:ascii="Times New Roman" w:hAnsi="Times New Roman" w:eastAsia="宋体" w:cs="Times New Roman"/>
                <w:i w:val="0"/>
                <w:iCs w:val="0"/>
                <w:color w:val="0C0C0C"/>
                <w:kern w:val="0"/>
                <w:sz w:val="24"/>
                <w:szCs w:val="24"/>
                <w:highlight w:val="none"/>
                <w:u w:val="none"/>
                <w:lang w:val="en-US" w:eastAsia="zh-CN" w:bidi="ar"/>
              </w:rPr>
              <w:t>公众社会安全满意度（%）</w:t>
            </w:r>
          </w:p>
        </w:tc>
        <w:tc>
          <w:tcPr>
            <w:tcW w:w="799" w:type="dxa"/>
            <w:noWrap w:val="0"/>
            <w:tcMar>
              <w:top w:w="15" w:type="dxa"/>
              <w:left w:w="15" w:type="dxa"/>
              <w:right w:w="15" w:type="dxa"/>
            </w:tcMar>
            <w:vAlign w:val="center"/>
          </w:tcPr>
          <w:p w14:paraId="43DC2BD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90</w:t>
            </w:r>
          </w:p>
        </w:tc>
        <w:tc>
          <w:tcPr>
            <w:tcW w:w="682" w:type="dxa"/>
            <w:noWrap w:val="0"/>
            <w:tcMar>
              <w:top w:w="15" w:type="dxa"/>
              <w:left w:w="15" w:type="dxa"/>
              <w:right w:w="15" w:type="dxa"/>
            </w:tcMar>
            <w:vAlign w:val="center"/>
          </w:tcPr>
          <w:p w14:paraId="61C7265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832" w:type="dxa"/>
            <w:noWrap w:val="0"/>
            <w:tcMar>
              <w:top w:w="15" w:type="dxa"/>
              <w:left w:w="15" w:type="dxa"/>
              <w:right w:w="15" w:type="dxa"/>
            </w:tcMar>
            <w:vAlign w:val="center"/>
          </w:tcPr>
          <w:p w14:paraId="2149C82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833" w:type="dxa"/>
            <w:noWrap w:val="0"/>
            <w:tcMar>
              <w:top w:w="15" w:type="dxa"/>
              <w:left w:w="15" w:type="dxa"/>
              <w:right w:w="15" w:type="dxa"/>
            </w:tcMar>
            <w:vAlign w:val="center"/>
          </w:tcPr>
          <w:p w14:paraId="0BB9B8A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4"/>
                <w:szCs w:val="24"/>
                <w:lang w:val="en-US" w:eastAsia="zh-CN"/>
              </w:rPr>
            </w:pPr>
            <w:r>
              <w:rPr>
                <w:rFonts w:hint="default" w:ascii="Times New Roman" w:hAnsi="Times New Roman" w:eastAsia="宋体" w:cs="Times New Roman"/>
                <w:b w:val="0"/>
                <w:i w:val="0"/>
                <w:color w:val="auto"/>
                <w:sz w:val="24"/>
                <w:szCs w:val="24"/>
                <w:lang w:val="en-US" w:eastAsia="zh-CN"/>
              </w:rPr>
              <w:t>-</w:t>
            </w:r>
          </w:p>
        </w:tc>
        <w:tc>
          <w:tcPr>
            <w:tcW w:w="799" w:type="dxa"/>
            <w:noWrap w:val="0"/>
            <w:tcMar>
              <w:top w:w="15" w:type="dxa"/>
              <w:left w:w="15" w:type="dxa"/>
              <w:right w:w="15" w:type="dxa"/>
            </w:tcMar>
            <w:vAlign w:val="center"/>
          </w:tcPr>
          <w:p w14:paraId="6907AB6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b w:val="0"/>
                <w:i w:val="0"/>
                <w:color w:val="auto"/>
                <w:kern w:val="2"/>
                <w:sz w:val="24"/>
                <w:szCs w:val="24"/>
                <w:highlight w:val="none"/>
                <w:lang w:val="en-US" w:eastAsia="zh-CN" w:bidi="ar-SA"/>
              </w:rPr>
              <w:t>预期性</w:t>
            </w:r>
          </w:p>
        </w:tc>
        <w:tc>
          <w:tcPr>
            <w:tcW w:w="1031" w:type="dxa"/>
            <w:noWrap w:val="0"/>
            <w:tcMar>
              <w:top w:w="15" w:type="dxa"/>
              <w:left w:w="15" w:type="dxa"/>
              <w:right w:w="15" w:type="dxa"/>
            </w:tcMar>
            <w:vAlign w:val="center"/>
          </w:tcPr>
          <w:p w14:paraId="01BD924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4"/>
                <w:szCs w:val="24"/>
                <w:highlight w:val="none"/>
                <w:lang w:val="en-US" w:eastAsia="zh-CN" w:bidi="ar-SA"/>
              </w:rPr>
            </w:pPr>
            <w:r>
              <w:rPr>
                <w:rFonts w:hint="default" w:ascii="Times New Roman" w:hAnsi="Times New Roman" w:eastAsia="宋体" w:cs="Times New Roman"/>
                <w:color w:val="0C0C0C"/>
                <w:sz w:val="21"/>
                <w:szCs w:val="21"/>
                <w:lang w:val="en-US" w:eastAsia="zh-CN" w:bidi="ar"/>
              </w:rPr>
              <w:t>不再统计</w:t>
            </w:r>
          </w:p>
        </w:tc>
      </w:tr>
    </w:tbl>
    <w:p w14:paraId="4EECBE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宋体" w:cs="Times New Roman"/>
          <w:color w:val="auto"/>
          <w:sz w:val="23"/>
          <w:szCs w:val="23"/>
          <w:lang w:val="en-US" w:eastAsia="zh-CN"/>
        </w:rPr>
      </w:pPr>
      <w:r>
        <w:rPr>
          <w:rFonts w:hint="default" w:ascii="Times New Roman" w:hAnsi="Times New Roman" w:eastAsia="宋体" w:cs="Times New Roman"/>
          <w:color w:val="auto"/>
          <w:sz w:val="23"/>
          <w:szCs w:val="23"/>
          <w:lang w:val="en-US" w:eastAsia="zh-CN"/>
        </w:rPr>
        <w:t>注：</w:t>
      </w:r>
      <w:r>
        <w:rPr>
          <w:rFonts w:hint="default" w:ascii="Times New Roman" w:hAnsi="Times New Roman" w:eastAsia="宋体" w:cs="Times New Roman"/>
          <w:color w:val="auto"/>
          <w:sz w:val="23"/>
          <w:szCs w:val="23"/>
          <w:highlight w:val="none"/>
          <w:lang w:val="en-US" w:eastAsia="zh-CN"/>
        </w:rPr>
        <w:t>[ ]内数据为五年累计数，*为上级下达目标</w:t>
      </w:r>
      <w:r>
        <w:rPr>
          <w:rFonts w:hint="eastAsia" w:eastAsia="宋体" w:cs="Times New Roman"/>
          <w:color w:val="auto"/>
          <w:sz w:val="23"/>
          <w:szCs w:val="23"/>
          <w:highlight w:val="none"/>
          <w:lang w:val="en-US" w:eastAsia="zh-CN"/>
        </w:rPr>
        <w:t>，标注#的为预计值。</w:t>
      </w:r>
    </w:p>
    <w:p w14:paraId="2A73140E">
      <w:pPr>
        <w:pStyle w:val="6"/>
        <w:keepNext w:val="0"/>
        <w:keepLines w:val="0"/>
        <w:pageBreakBefore w:val="0"/>
        <w:widowControl w:val="0"/>
        <w:kinsoku/>
        <w:wordWrap/>
        <w:overflowPunct/>
        <w:topLinePunct w:val="0"/>
        <w:autoSpaceDE/>
        <w:autoSpaceDN/>
        <w:bidi w:val="0"/>
        <w:adjustRightInd/>
        <w:snapToGrid/>
        <w:spacing w:line="240" w:lineRule="auto"/>
        <w:ind w:firstLine="632" w:firstLineChars="200"/>
        <w:jc w:val="center"/>
        <w:textAlignment w:val="center"/>
        <w:rPr>
          <w:rFonts w:hint="eastAsia" w:ascii="CESI黑体-GB2312" w:hAnsi="CESI黑体-GB2312" w:eastAsia="CESI黑体-GB2312" w:cs="CESI黑体-GB2312"/>
          <w:b w:val="0"/>
          <w:bCs/>
          <w:color w:val="auto"/>
          <w:lang w:val="en-US" w:eastAsia="zh-CN"/>
        </w:rPr>
      </w:pPr>
      <w:bookmarkStart w:id="18" w:name="_Toc21570"/>
      <w:r>
        <w:rPr>
          <w:rFonts w:hint="eastAsia" w:ascii="CESI黑体-GB2312" w:hAnsi="CESI黑体-GB2312" w:eastAsia="CESI黑体-GB2312" w:cs="CESI黑体-GB2312"/>
          <w:b w:val="0"/>
          <w:bCs/>
          <w:color w:val="auto"/>
          <w:lang w:val="en-US" w:eastAsia="zh-CN"/>
        </w:rPr>
        <w:t>第二节  发展环境</w:t>
      </w:r>
      <w:bookmarkEnd w:id="18"/>
    </w:p>
    <w:p w14:paraId="5FF058BC">
      <w:pPr>
        <w:pStyle w:val="6"/>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center"/>
        <w:rPr>
          <w:rFonts w:hint="default" w:ascii="Times New Roman" w:hAnsi="Times New Roman" w:eastAsia="仿宋_GB2312" w:cs="Times New Roman"/>
          <w:b w:val="0"/>
          <w:color w:val="auto"/>
          <w:kern w:val="2"/>
          <w:sz w:val="32"/>
          <w:szCs w:val="32"/>
          <w:rtl w:val="0"/>
          <w:lang w:val="en-US" w:eastAsia="zh-CN" w:bidi="ar-SA"/>
        </w:rPr>
      </w:pPr>
      <w:r>
        <w:rPr>
          <w:rFonts w:hint="default" w:ascii="Times New Roman" w:hAnsi="Times New Roman" w:eastAsia="仿宋_GB2312" w:cs="Times New Roman"/>
          <w:b w:val="0"/>
          <w:color w:val="auto"/>
          <w:kern w:val="2"/>
          <w:sz w:val="32"/>
          <w:szCs w:val="32"/>
          <w:lang w:val="en-US" w:eastAsia="zh-CN" w:bidi="ar-SA"/>
        </w:rPr>
        <w:t>深刻认识并准确把握发展面临的机遇和挑战，找准前行方向，是明确</w:t>
      </w:r>
      <w:r>
        <w:rPr>
          <w:rFonts w:hint="eastAsia" w:cs="Times New Roman"/>
          <w:b w:val="0"/>
          <w:color w:val="auto"/>
          <w:kern w:val="2"/>
          <w:sz w:val="32"/>
          <w:szCs w:val="32"/>
          <w:lang w:val="en-US" w:eastAsia="zh-CN" w:bidi="ar-SA"/>
        </w:rPr>
        <w:t>“</w:t>
      </w:r>
      <w:r>
        <w:rPr>
          <w:rFonts w:hint="default" w:ascii="Times New Roman" w:hAnsi="Times New Roman" w:eastAsia="仿宋_GB2312" w:cs="Times New Roman"/>
          <w:b w:val="0"/>
          <w:color w:val="auto"/>
          <w:kern w:val="2"/>
          <w:sz w:val="32"/>
          <w:szCs w:val="32"/>
          <w:lang w:val="en-US" w:eastAsia="zh-CN" w:bidi="ar-SA"/>
        </w:rPr>
        <w:t>十五五</w:t>
      </w:r>
      <w:r>
        <w:rPr>
          <w:rFonts w:hint="eastAsia" w:cs="Times New Roman"/>
          <w:b w:val="0"/>
          <w:color w:val="auto"/>
          <w:kern w:val="2"/>
          <w:sz w:val="32"/>
          <w:szCs w:val="32"/>
          <w:lang w:val="en-US" w:eastAsia="zh-CN" w:bidi="ar-SA"/>
        </w:rPr>
        <w:t>”</w:t>
      </w:r>
      <w:r>
        <w:rPr>
          <w:rFonts w:hint="default" w:ascii="Times New Roman" w:hAnsi="Times New Roman" w:eastAsia="仿宋_GB2312" w:cs="Times New Roman"/>
          <w:b w:val="0"/>
          <w:color w:val="auto"/>
          <w:kern w:val="2"/>
          <w:sz w:val="32"/>
          <w:szCs w:val="32"/>
          <w:lang w:val="en-US" w:eastAsia="zh-CN" w:bidi="ar-SA"/>
        </w:rPr>
        <w:t>时期经济社会发展目标任务的必要前提。</w:t>
      </w:r>
    </w:p>
    <w:p w14:paraId="3E6A076B">
      <w:pPr>
        <w:pStyle w:val="7"/>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19" w:name="_Toc24474"/>
      <w:bookmarkStart w:id="20" w:name="_Toc5577"/>
      <w:bookmarkStart w:id="21" w:name="OLE_LINK198"/>
      <w:r>
        <w:rPr>
          <w:rFonts w:hint="default" w:ascii="Times New Roman" w:hAnsi="Times New Roman" w:eastAsia="黑体" w:cs="Times New Roman"/>
          <w:b w:val="0"/>
          <w:bCs/>
          <w:color w:val="auto"/>
          <w:sz w:val="32"/>
          <w:szCs w:val="32"/>
          <w:lang w:val="en-US" w:eastAsia="zh-CN"/>
        </w:rPr>
        <w:t>一、发展机遇</w:t>
      </w:r>
      <w:bookmarkEnd w:id="19"/>
      <w:bookmarkEnd w:id="20"/>
    </w:p>
    <w:p w14:paraId="546347ED">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center"/>
        <w:rPr>
          <w:rFonts w:hint="default" w:ascii="Times New Roman" w:hAnsi="Times New Roman" w:eastAsia="仿宋_GB2312" w:cs="Times New Roman"/>
          <w:color w:val="auto"/>
          <w:sz w:val="32"/>
          <w:szCs w:val="32"/>
          <w:lang w:val="en-US" w:eastAsia="zh-CN"/>
        </w:rPr>
      </w:pPr>
      <w:r>
        <w:rPr>
          <w:rFonts w:hint="eastAsia" w:ascii="楷体_GB2312" w:hAnsi="楷体_GB2312" w:eastAsia="楷体_GB2312" w:cs="楷体_GB2312"/>
          <w:color w:val="auto"/>
          <w:sz w:val="32"/>
          <w:szCs w:val="32"/>
          <w:lang w:val="en-US" w:eastAsia="zh-CN"/>
        </w:rPr>
        <w:t>习近平总书记多次来陕考察指明发展新方向。</w:t>
      </w:r>
      <w:r>
        <w:rPr>
          <w:rFonts w:hint="default" w:ascii="Times New Roman" w:hAnsi="Times New Roman" w:eastAsia="仿宋_GB2312" w:cs="Times New Roman"/>
          <w:color w:val="auto"/>
          <w:sz w:val="32"/>
          <w:szCs w:val="32"/>
          <w:lang w:val="en-US" w:eastAsia="zh-CN"/>
        </w:rPr>
        <w:t>习近平总书记多次来陕考察指导并发表重要讲话，多次对陕西工作作出重要指示批示，赋予陕西</w:t>
      </w:r>
      <w:r>
        <w:rPr>
          <w:rFonts w:hint="eastAsia" w:cs="Times New Roman"/>
          <w:color w:val="auto"/>
          <w:sz w:val="32"/>
          <w:szCs w:val="32"/>
          <w:rtl w:val="0"/>
          <w:lang w:val="en-US" w:eastAsia="zh-CN"/>
        </w:rPr>
        <w:t>“</w:t>
      </w:r>
      <w:r>
        <w:rPr>
          <w:rFonts w:hint="default" w:ascii="Times New Roman" w:hAnsi="Times New Roman" w:eastAsia="仿宋_GB2312" w:cs="Times New Roman"/>
          <w:color w:val="auto"/>
          <w:sz w:val="32"/>
          <w:szCs w:val="32"/>
          <w:rtl w:val="0"/>
          <w:lang w:val="en-US" w:eastAsia="zh-CN"/>
        </w:rPr>
        <w:t>奋力谱写中国式现代化建设的陕西新篇章</w:t>
      </w:r>
      <w:r>
        <w:rPr>
          <w:rFonts w:hint="eastAsia" w:cs="Times New Roman"/>
          <w:color w:val="auto"/>
          <w:sz w:val="32"/>
          <w:szCs w:val="32"/>
          <w:rtl w:val="0"/>
          <w:lang w:val="en-US" w:eastAsia="zh-CN"/>
        </w:rPr>
        <w:t>”“</w:t>
      </w:r>
      <w:r>
        <w:rPr>
          <w:rFonts w:hint="default" w:ascii="Times New Roman" w:hAnsi="Times New Roman" w:eastAsia="仿宋_GB2312" w:cs="Times New Roman"/>
          <w:color w:val="auto"/>
          <w:sz w:val="32"/>
          <w:szCs w:val="32"/>
          <w:rtl w:val="0"/>
          <w:lang w:val="en-US" w:eastAsia="zh-CN"/>
        </w:rPr>
        <w:t>在西部地区发挥示范作用</w:t>
      </w:r>
      <w:r>
        <w:rPr>
          <w:rFonts w:hint="eastAsia" w:cs="Times New Roman"/>
          <w:color w:val="auto"/>
          <w:sz w:val="32"/>
          <w:szCs w:val="32"/>
          <w:rtl w:val="0"/>
          <w:lang w:val="en-US" w:eastAsia="zh-CN"/>
        </w:rPr>
        <w:t>”</w:t>
      </w:r>
      <w:r>
        <w:rPr>
          <w:rFonts w:hint="default" w:ascii="Times New Roman" w:hAnsi="Times New Roman" w:eastAsia="仿宋_GB2312" w:cs="Times New Roman"/>
          <w:color w:val="auto"/>
          <w:sz w:val="32"/>
          <w:szCs w:val="32"/>
          <w:rtl w:val="0"/>
          <w:lang w:val="en-US" w:eastAsia="zh-CN"/>
        </w:rPr>
        <w:t>的战略使命。</w:t>
      </w:r>
      <w:r>
        <w:rPr>
          <w:rFonts w:hint="default" w:ascii="Times New Roman" w:hAnsi="Times New Roman" w:eastAsia="仿宋_GB2312" w:cs="Times New Roman"/>
          <w:color w:val="auto"/>
          <w:sz w:val="32"/>
          <w:szCs w:val="32"/>
          <w:lang w:val="en-US" w:eastAsia="zh-CN"/>
        </w:rPr>
        <w:t>特别是习近平总书记亲临汉中考察，对历史文化传承、生态环境保护、特色产业发展等作出重要指示，擘画了</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努力建设环境优美、绿色低碳、宜居宜游的生态城市</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的美好蓝图</w:t>
      </w:r>
      <w:r>
        <w:rPr>
          <w:rFonts w:hint="default" w:ascii="Times New Roman" w:hAnsi="Times New Roman"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为新时代新征程汉台区高质量发展提供了根本遵循、指明了前进方向。</w:t>
      </w:r>
    </w:p>
    <w:p w14:paraId="722C82B4">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center"/>
        <w:rPr>
          <w:rFonts w:hint="default" w:ascii="Times New Roman" w:hAnsi="Times New Roman" w:eastAsia="仿宋_GB2312" w:cs="Times New Roman"/>
          <w:b w:val="0"/>
          <w:bCs w:val="0"/>
          <w:color w:val="auto"/>
          <w:sz w:val="32"/>
          <w:szCs w:val="32"/>
          <w:lang w:val="en-US" w:eastAsia="zh-CN"/>
        </w:rPr>
      </w:pPr>
      <w:r>
        <w:rPr>
          <w:rFonts w:hint="default" w:ascii="楷体_GB2312" w:hAnsi="楷体_GB2312" w:eastAsia="楷体_GB2312" w:cs="楷体_GB2312"/>
          <w:color w:val="auto"/>
          <w:sz w:val="32"/>
          <w:szCs w:val="32"/>
          <w:lang w:val="en-US" w:eastAsia="zh-CN"/>
        </w:rPr>
        <w:t>国家重大战略和政策叠加释放新红利。</w:t>
      </w:r>
      <w:r>
        <w:rPr>
          <w:rFonts w:hint="default" w:ascii="Times New Roman" w:hAnsi="Times New Roman" w:eastAsia="仿宋_GB2312" w:cs="Times New Roman"/>
          <w:b w:val="0"/>
          <w:bCs w:val="0"/>
          <w:color w:val="auto"/>
          <w:sz w:val="32"/>
          <w:szCs w:val="32"/>
          <w:lang w:val="en-US" w:eastAsia="zh-CN"/>
        </w:rPr>
        <w:t>国家深入实施新一轮西部大开发</w:t>
      </w:r>
      <w:r>
        <w:rPr>
          <w:rFonts w:hint="default" w:ascii="Times New Roman" w:hAnsi="Times New Roman" w:cs="Times New Roman"/>
          <w:b w:val="0"/>
          <w:bCs w:val="0"/>
          <w:color w:val="auto"/>
          <w:sz w:val="32"/>
          <w:szCs w:val="32"/>
          <w:lang w:val="en-US" w:eastAsia="zh-CN"/>
        </w:rPr>
        <w:t>、共建</w:t>
      </w:r>
      <w:r>
        <w:rPr>
          <w:rFonts w:hint="eastAsia"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一带一路</w:t>
      </w:r>
      <w:r>
        <w:rPr>
          <w:rFonts w:hint="eastAsia"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、汉江生态经济带、西部陆海新通道、川陕革命老区振兴、碳达峰碳中和等</w:t>
      </w:r>
      <w:r>
        <w:rPr>
          <w:rFonts w:hint="default" w:ascii="Times New Roman" w:hAnsi="Times New Roman" w:cs="Times New Roman"/>
          <w:b w:val="0"/>
          <w:bCs w:val="0"/>
          <w:color w:val="auto"/>
          <w:sz w:val="32"/>
          <w:szCs w:val="32"/>
          <w:lang w:val="en-US" w:eastAsia="zh-CN"/>
        </w:rPr>
        <w:t>重大</w:t>
      </w:r>
      <w:r>
        <w:rPr>
          <w:rFonts w:hint="default" w:ascii="Times New Roman" w:hAnsi="Times New Roman" w:eastAsia="仿宋_GB2312" w:cs="Times New Roman"/>
          <w:b w:val="0"/>
          <w:bCs w:val="0"/>
          <w:color w:val="auto"/>
          <w:sz w:val="32"/>
          <w:szCs w:val="32"/>
          <w:lang w:val="en-US" w:eastAsia="zh-CN"/>
        </w:rPr>
        <w:t>战略</w:t>
      </w:r>
      <w:r>
        <w:rPr>
          <w:rFonts w:hint="default" w:ascii="Times New Roman" w:hAnsi="Times New Roman" w:cs="Times New Roman"/>
          <w:b w:val="0"/>
          <w:bCs w:val="0"/>
          <w:color w:val="auto"/>
          <w:sz w:val="32"/>
          <w:szCs w:val="32"/>
          <w:lang w:val="en-US" w:eastAsia="zh-CN"/>
        </w:rPr>
        <w:t>，全国统一大市场建设纵深推进，</w:t>
      </w:r>
      <w:r>
        <w:rPr>
          <w:rFonts w:hint="eastAsia" w:cs="Times New Roman"/>
          <w:b w:val="0"/>
          <w:bCs w:val="0"/>
          <w:color w:val="auto"/>
          <w:sz w:val="32"/>
          <w:szCs w:val="32"/>
          <w:lang w:val="en-US" w:eastAsia="zh-CN"/>
        </w:rPr>
        <w:t>“</w:t>
      </w:r>
      <w:r>
        <w:rPr>
          <w:rFonts w:hint="default" w:ascii="Times New Roman" w:hAnsi="Times New Roman" w:cs="Times New Roman"/>
          <w:b w:val="0"/>
          <w:bCs w:val="0"/>
          <w:color w:val="auto"/>
          <w:sz w:val="32"/>
          <w:szCs w:val="32"/>
          <w:lang w:val="en-US" w:eastAsia="zh-CN"/>
        </w:rPr>
        <w:t>两重</w:t>
      </w:r>
      <w:r>
        <w:rPr>
          <w:rFonts w:hint="eastAsia" w:cs="Times New Roman"/>
          <w:b w:val="0"/>
          <w:bCs w:val="0"/>
          <w:color w:val="auto"/>
          <w:sz w:val="32"/>
          <w:szCs w:val="32"/>
          <w:lang w:val="en-US" w:eastAsia="zh-CN"/>
        </w:rPr>
        <w:t>”“</w:t>
      </w:r>
      <w:r>
        <w:rPr>
          <w:rFonts w:hint="default" w:ascii="Times New Roman" w:hAnsi="Times New Roman" w:cs="Times New Roman"/>
          <w:b w:val="0"/>
          <w:bCs w:val="0"/>
          <w:color w:val="auto"/>
          <w:sz w:val="32"/>
          <w:szCs w:val="32"/>
          <w:lang w:val="en-US" w:eastAsia="zh-CN"/>
        </w:rPr>
        <w:t>两新</w:t>
      </w:r>
      <w:r>
        <w:rPr>
          <w:rFonts w:hint="eastAsia" w:cs="Times New Roman"/>
          <w:b w:val="0"/>
          <w:bCs w:val="0"/>
          <w:color w:val="auto"/>
          <w:sz w:val="32"/>
          <w:szCs w:val="32"/>
          <w:lang w:val="en-US" w:eastAsia="zh-CN"/>
        </w:rPr>
        <w:t>”</w:t>
      </w:r>
      <w:r>
        <w:rPr>
          <w:rFonts w:hint="default" w:ascii="Times New Roman" w:hAnsi="Times New Roman" w:cs="Times New Roman"/>
          <w:b w:val="0"/>
          <w:bCs w:val="0"/>
          <w:color w:val="auto"/>
          <w:sz w:val="32"/>
          <w:szCs w:val="32"/>
          <w:lang w:val="en-US" w:eastAsia="zh-CN"/>
        </w:rPr>
        <w:t>政策持续实施，</w:t>
      </w:r>
      <w:r>
        <w:rPr>
          <w:rFonts w:hint="default" w:ascii="Times New Roman" w:hAnsi="Times New Roman" w:cs="Times New Roman"/>
          <w:color w:val="auto"/>
          <w:szCs w:val="32"/>
        </w:rPr>
        <w:t>国家战略多重叠加的乘数效应</w:t>
      </w:r>
      <w:r>
        <w:rPr>
          <w:rFonts w:hint="default" w:ascii="Times New Roman" w:hAnsi="Times New Roman" w:cs="Times New Roman"/>
          <w:color w:val="auto"/>
          <w:szCs w:val="32"/>
          <w:lang w:eastAsia="zh-CN"/>
        </w:rPr>
        <w:t>，</w:t>
      </w:r>
      <w:r>
        <w:rPr>
          <w:rFonts w:hint="default" w:ascii="Times New Roman" w:hAnsi="Times New Roman" w:cs="Times New Roman"/>
          <w:b w:val="0"/>
          <w:bCs w:val="0"/>
          <w:color w:val="auto"/>
          <w:sz w:val="32"/>
          <w:szCs w:val="32"/>
          <w:lang w:val="en-US" w:eastAsia="zh-CN"/>
        </w:rPr>
        <w:t>有助于汉台发挥比较优势，争取政策和项目支持，</w:t>
      </w:r>
      <w:r>
        <w:rPr>
          <w:rFonts w:hint="default" w:ascii="Times New Roman" w:hAnsi="Times New Roman" w:cs="Times New Roman"/>
          <w:color w:val="auto"/>
          <w:szCs w:val="32"/>
        </w:rPr>
        <w:t>加大关键领域和薄弱环节补短板，</w:t>
      </w:r>
      <w:r>
        <w:rPr>
          <w:rFonts w:hint="default" w:ascii="Times New Roman" w:hAnsi="Times New Roman" w:cs="Times New Roman"/>
          <w:b w:val="0"/>
          <w:bCs w:val="0"/>
          <w:color w:val="auto"/>
          <w:sz w:val="32"/>
          <w:szCs w:val="32"/>
          <w:lang w:val="en-US" w:eastAsia="zh-CN"/>
        </w:rPr>
        <w:t>提升整体竞争能力。</w:t>
      </w:r>
    </w:p>
    <w:p w14:paraId="0C47BBCE">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全面推进美丽中国建设凸显发展新优势。</w:t>
      </w:r>
      <w:bookmarkStart w:id="22" w:name="OLE_LINK26"/>
      <w:r>
        <w:rPr>
          <w:rFonts w:hint="default" w:ascii="Times New Roman" w:hAnsi="Times New Roman" w:eastAsia="仿宋_GB2312" w:cs="Times New Roman"/>
          <w:b w:val="0"/>
          <w:bCs w:val="0"/>
          <w:color w:val="auto"/>
          <w:sz w:val="32"/>
          <w:szCs w:val="32"/>
          <w:lang w:val="en-US" w:eastAsia="zh-CN"/>
        </w:rPr>
        <w:t>建设美丽中国是全面建设社会主义现代化国家的重要目标，是实现中华民族伟大复兴中国梦的重要内容。</w:t>
      </w:r>
      <w:bookmarkEnd w:id="22"/>
      <w:r>
        <w:rPr>
          <w:rFonts w:hint="default" w:ascii="Times New Roman" w:hAnsi="Times New Roman" w:eastAsia="仿宋_GB2312" w:cs="Times New Roman"/>
          <w:b w:val="0"/>
          <w:bCs w:val="0"/>
          <w:color w:val="auto"/>
          <w:sz w:val="32"/>
          <w:szCs w:val="32"/>
          <w:lang w:val="en-US" w:eastAsia="zh-CN"/>
        </w:rPr>
        <w:t>汉台区生态屏障战略地位突出</w:t>
      </w:r>
      <w:r>
        <w:rPr>
          <w:rFonts w:hint="default" w:ascii="Times New Roman" w:hAnsi="Times New Roman"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生物资源丰富</w:t>
      </w:r>
      <w:r>
        <w:rPr>
          <w:rFonts w:hint="default" w:ascii="Times New Roman" w:hAnsi="Times New Roman"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是国家南水北调中线工程重要水源涵养区、国家秦巴生物多样性功能区、省内</w:t>
      </w:r>
      <w:r>
        <w:rPr>
          <w:rFonts w:hint="eastAsia"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引汉济渭</w:t>
      </w:r>
      <w:r>
        <w:rPr>
          <w:rFonts w:hint="eastAsia"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工程的水源保护区</w:t>
      </w:r>
      <w:r>
        <w:rPr>
          <w:rFonts w:hint="default" w:ascii="Times New Roman" w:hAnsi="Times New Roman" w:cs="Times New Roman"/>
          <w:b w:val="0"/>
          <w:bCs w:val="0"/>
          <w:color w:val="auto"/>
          <w:sz w:val="32"/>
          <w:szCs w:val="32"/>
          <w:lang w:val="en-US" w:eastAsia="zh-CN"/>
        </w:rPr>
        <w:t>、省</w:t>
      </w:r>
      <w:r>
        <w:rPr>
          <w:rFonts w:hint="default" w:ascii="Times New Roman" w:hAnsi="Times New Roman" w:eastAsia="仿宋_GB2312" w:cs="Times New Roman"/>
          <w:b w:val="0"/>
          <w:bCs w:val="0"/>
          <w:color w:val="auto"/>
          <w:sz w:val="32"/>
          <w:szCs w:val="32"/>
          <w:lang w:val="en-US" w:eastAsia="zh-CN"/>
        </w:rPr>
        <w:t>级生态</w:t>
      </w:r>
      <w:r>
        <w:rPr>
          <w:rFonts w:hint="default" w:ascii="Times New Roman" w:hAnsi="Times New Roman" w:cs="Times New Roman"/>
          <w:b w:val="0"/>
          <w:bCs w:val="0"/>
          <w:color w:val="auto"/>
          <w:sz w:val="32"/>
          <w:szCs w:val="32"/>
          <w:lang w:val="en-US" w:eastAsia="zh-CN"/>
        </w:rPr>
        <w:t>文明建设</w:t>
      </w:r>
      <w:r>
        <w:rPr>
          <w:rFonts w:hint="default" w:ascii="Times New Roman" w:hAnsi="Times New Roman" w:eastAsia="仿宋_GB2312" w:cs="Times New Roman"/>
          <w:b w:val="0"/>
          <w:bCs w:val="0"/>
          <w:color w:val="auto"/>
          <w:sz w:val="32"/>
          <w:szCs w:val="32"/>
          <w:lang w:val="en-US" w:eastAsia="zh-CN"/>
        </w:rPr>
        <w:t>示范区和重要农产品生产基地。</w:t>
      </w:r>
      <w:r>
        <w:rPr>
          <w:rFonts w:hint="default" w:ascii="Times New Roman" w:hAnsi="Times New Roman" w:cs="Times New Roman"/>
          <w:b w:val="0"/>
          <w:bCs w:val="0"/>
          <w:color w:val="auto"/>
          <w:sz w:val="32"/>
          <w:szCs w:val="32"/>
          <w:lang w:val="en-US" w:eastAsia="zh-CN"/>
        </w:rPr>
        <w:t>美丽中国建设</w:t>
      </w:r>
      <w:r>
        <w:rPr>
          <w:rFonts w:hint="default" w:ascii="Times New Roman" w:hAnsi="Times New Roman" w:eastAsia="仿宋_GB2312" w:cs="Times New Roman"/>
          <w:b w:val="0"/>
          <w:bCs w:val="0"/>
          <w:color w:val="auto"/>
          <w:sz w:val="32"/>
          <w:szCs w:val="32"/>
          <w:lang w:val="en-US" w:eastAsia="zh-CN"/>
        </w:rPr>
        <w:t>为汉台</w:t>
      </w:r>
      <w:r>
        <w:rPr>
          <w:rFonts w:hint="default" w:ascii="Times New Roman" w:hAnsi="Times New Roman" w:cs="Times New Roman"/>
          <w:b w:val="0"/>
          <w:bCs w:val="0"/>
          <w:color w:val="auto"/>
          <w:sz w:val="32"/>
          <w:szCs w:val="32"/>
          <w:lang w:val="en-US" w:eastAsia="zh-CN"/>
        </w:rPr>
        <w:t>扩大</w:t>
      </w:r>
      <w:r>
        <w:rPr>
          <w:rFonts w:hint="default" w:ascii="Times New Roman" w:hAnsi="Times New Roman" w:eastAsia="仿宋_GB2312" w:cs="Times New Roman"/>
          <w:b w:val="0"/>
          <w:bCs w:val="0"/>
          <w:color w:val="auto"/>
          <w:sz w:val="32"/>
          <w:szCs w:val="32"/>
          <w:lang w:val="en-US" w:eastAsia="zh-CN"/>
        </w:rPr>
        <w:t>优质生态产品供给提供了契机，有利于抢占生态经济新赛道，塑造发展新优势。</w:t>
      </w:r>
    </w:p>
    <w:p w14:paraId="6ADB50B2">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科技创新催生新质生产力注入发展新动能。</w:t>
      </w:r>
      <w:r>
        <w:rPr>
          <w:rFonts w:hint="default" w:ascii="Times New Roman" w:hAnsi="Times New Roman" w:eastAsia="仿宋_GB2312" w:cs="Times New Roman"/>
          <w:color w:val="auto"/>
          <w:kern w:val="0"/>
          <w:sz w:val="32"/>
          <w:szCs w:val="32"/>
          <w:lang w:val="en-US" w:eastAsia="zh-CN" w:bidi="ar"/>
        </w:rPr>
        <w:t>全球科技创新进入密集活跃期，人工智能作为引领新一轮科技革命和产业变革的战略</w:t>
      </w:r>
      <w:r>
        <w:rPr>
          <w:rFonts w:hint="default" w:ascii="Times New Roman" w:hAnsi="Times New Roman" w:cs="Times New Roman"/>
          <w:b w:val="0"/>
          <w:bCs w:val="0"/>
          <w:color w:val="auto"/>
          <w:sz w:val="32"/>
          <w:szCs w:val="32"/>
          <w:lang w:val="en-US" w:eastAsia="zh-CN"/>
        </w:rPr>
        <w:t>性技术，正在迅速广泛渗透经济社会各领域各方面，重塑科研范式、产业形态和经济格局。</w:t>
      </w:r>
      <w:r>
        <w:rPr>
          <w:rFonts w:hint="default" w:ascii="Times New Roman" w:hAnsi="Times New Roman" w:cs="Times New Roman"/>
          <w:b w:val="0"/>
          <w:bCs w:val="0"/>
          <w:color w:val="auto"/>
          <w:sz w:val="32"/>
          <w:szCs w:val="32"/>
          <w:rtl w:val="0"/>
          <w:lang w:val="en-US" w:eastAsia="zh-CN"/>
        </w:rPr>
        <w:t>中央会议多次提到加快发展新质生产力，</w:t>
      </w:r>
      <w:r>
        <w:rPr>
          <w:rFonts w:hint="default" w:ascii="Times New Roman" w:hAnsi="Times New Roman" w:cs="Times New Roman"/>
          <w:b w:val="0"/>
          <w:bCs w:val="0"/>
          <w:color w:val="auto"/>
          <w:sz w:val="32"/>
          <w:szCs w:val="32"/>
          <w:lang w:val="en-US" w:eastAsia="zh-CN"/>
        </w:rPr>
        <w:t>加快建设制造强国、质量强国、航天强国、交通强国、网络强国、数字中国。</w:t>
      </w:r>
      <w:r>
        <w:rPr>
          <w:rFonts w:hint="default" w:ascii="Times New Roman" w:hAnsi="Times New Roman" w:cs="Times New Roman"/>
          <w:b w:val="0"/>
          <w:bCs w:val="0"/>
          <w:color w:val="auto"/>
          <w:sz w:val="32"/>
          <w:szCs w:val="32"/>
          <w:rtl w:val="0"/>
          <w:lang w:val="en-US" w:eastAsia="zh-CN"/>
        </w:rPr>
        <w:t>科技产业的突破性变革，有利于汉台</w:t>
      </w:r>
      <w:r>
        <w:rPr>
          <w:rFonts w:hint="default" w:ascii="Times New Roman" w:hAnsi="Times New Roman" w:cs="Times New Roman"/>
          <w:b w:val="0"/>
          <w:bCs w:val="0"/>
          <w:color w:val="auto"/>
          <w:sz w:val="32"/>
          <w:szCs w:val="32"/>
          <w:lang w:val="en-US" w:eastAsia="zh-CN"/>
        </w:rPr>
        <w:t>因地制宜加快发展新质生产力，开辟新领域新赛道，抢占科技发展和产业竞争制高点。</w:t>
      </w:r>
    </w:p>
    <w:p w14:paraId="36E034BF">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陕西区域协调发展战略带来发展新契机。</w:t>
      </w:r>
      <w:r>
        <w:rPr>
          <w:rFonts w:hint="default" w:ascii="Times New Roman" w:hAnsi="Times New Roman" w:cs="Times New Roman"/>
          <w:b w:val="0"/>
          <w:bCs w:val="0"/>
          <w:color w:val="auto"/>
          <w:sz w:val="32"/>
          <w:szCs w:val="32"/>
          <w:lang w:val="en-US" w:eastAsia="zh-CN"/>
        </w:rPr>
        <w:t>省委、省政府实施</w:t>
      </w:r>
      <w:r>
        <w:rPr>
          <w:rFonts w:hint="eastAsia" w:cs="Times New Roman"/>
          <w:b w:val="0"/>
          <w:bCs w:val="0"/>
          <w:color w:val="auto"/>
          <w:sz w:val="32"/>
          <w:szCs w:val="32"/>
          <w:lang w:val="en-US" w:eastAsia="zh-CN"/>
        </w:rPr>
        <w:t>“</w:t>
      </w:r>
      <w:r>
        <w:rPr>
          <w:rFonts w:hint="default" w:ascii="Times New Roman" w:hAnsi="Times New Roman" w:cs="Times New Roman"/>
          <w:b w:val="0"/>
          <w:bCs w:val="0"/>
          <w:color w:val="auto"/>
          <w:sz w:val="32"/>
          <w:szCs w:val="32"/>
          <w:lang w:val="en-US" w:eastAsia="zh-CN"/>
        </w:rPr>
        <w:t>双极带动、多点支撑、三区协同</w:t>
      </w:r>
      <w:r>
        <w:rPr>
          <w:rFonts w:hint="eastAsia" w:cs="Times New Roman"/>
          <w:b w:val="0"/>
          <w:bCs w:val="0"/>
          <w:color w:val="auto"/>
          <w:sz w:val="32"/>
          <w:szCs w:val="32"/>
          <w:lang w:val="en-US" w:eastAsia="zh-CN"/>
        </w:rPr>
        <w:t>”</w:t>
      </w:r>
      <w:r>
        <w:rPr>
          <w:rFonts w:hint="default" w:ascii="Times New Roman" w:hAnsi="Times New Roman" w:cs="Times New Roman"/>
          <w:b w:val="0"/>
          <w:bCs w:val="0"/>
          <w:color w:val="auto"/>
          <w:sz w:val="32"/>
          <w:szCs w:val="32"/>
          <w:lang w:val="en-US" w:eastAsia="zh-CN"/>
        </w:rPr>
        <w:t>战略，加快实现关中陕北陕南三大板块错位发展、联动互补、协同升级。支持推进西汉蓉航空产业带建设，推动成渝西协同发展。支持汉中、安康、商洛拓宽</w:t>
      </w:r>
      <w:r>
        <w:rPr>
          <w:rFonts w:hint="eastAsia" w:cs="Times New Roman"/>
          <w:b w:val="0"/>
          <w:bCs w:val="0"/>
          <w:color w:val="auto"/>
          <w:sz w:val="32"/>
          <w:szCs w:val="32"/>
          <w:lang w:val="en-US" w:eastAsia="zh-CN"/>
        </w:rPr>
        <w:t>“</w:t>
      </w:r>
      <w:r>
        <w:rPr>
          <w:rFonts w:hint="default" w:ascii="Times New Roman" w:hAnsi="Times New Roman" w:cs="Times New Roman"/>
          <w:b w:val="0"/>
          <w:bCs w:val="0"/>
          <w:color w:val="auto"/>
          <w:sz w:val="32"/>
          <w:szCs w:val="32"/>
          <w:lang w:val="en-US" w:eastAsia="zh-CN"/>
        </w:rPr>
        <w:t>两山转化</w:t>
      </w:r>
      <w:r>
        <w:rPr>
          <w:rFonts w:hint="eastAsia" w:cs="Times New Roman"/>
          <w:b w:val="0"/>
          <w:bCs w:val="0"/>
          <w:color w:val="auto"/>
          <w:sz w:val="32"/>
          <w:szCs w:val="32"/>
          <w:lang w:val="en-US" w:eastAsia="zh-CN"/>
        </w:rPr>
        <w:t>”</w:t>
      </w:r>
      <w:r>
        <w:rPr>
          <w:rFonts w:hint="default" w:ascii="Times New Roman" w:hAnsi="Times New Roman" w:cs="Times New Roman"/>
          <w:b w:val="0"/>
          <w:bCs w:val="0"/>
          <w:color w:val="auto"/>
          <w:sz w:val="32"/>
          <w:szCs w:val="32"/>
          <w:lang w:val="en-US" w:eastAsia="zh-CN"/>
        </w:rPr>
        <w:t>通道，探索生态产品价值实现机制，建设生态城市。赋予汉中与西安产业共兴、文旅共融、交通枢纽共建，引领关中、陕南融合发展的使命任务，推动关中和陕南在技术密集型、劳动密集型产业发展上互促双强。省上区域协调发展战略有助于汉台融入和服务区域协同发展新格局，提升汉台战略位势，在优化产业体系、创新驱动发展、提升城市能级等方面实现重大突破。</w:t>
      </w:r>
    </w:p>
    <w:p w14:paraId="1BCD022C">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23" w:name="_Toc12170"/>
      <w:bookmarkStart w:id="24" w:name="_Toc16722"/>
      <w:r>
        <w:rPr>
          <w:rFonts w:hint="default" w:ascii="Times New Roman" w:hAnsi="Times New Roman" w:eastAsia="黑体" w:cs="Times New Roman"/>
          <w:b w:val="0"/>
          <w:bCs/>
          <w:color w:val="auto"/>
          <w:sz w:val="32"/>
          <w:szCs w:val="32"/>
          <w:lang w:val="en-US" w:eastAsia="zh-CN"/>
        </w:rPr>
        <w:t>二、问题挑战</w:t>
      </w:r>
      <w:bookmarkEnd w:id="23"/>
      <w:bookmarkEnd w:id="24"/>
    </w:p>
    <w:p w14:paraId="547E76F2">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color w:val="auto"/>
          <w:szCs w:val="32"/>
        </w:rPr>
        <w:t>肯定成</w:t>
      </w:r>
      <w:r>
        <w:rPr>
          <w:rFonts w:hint="default" w:ascii="Times New Roman" w:hAnsi="Times New Roman" w:cs="Times New Roman"/>
          <w:color w:val="auto"/>
          <w:szCs w:val="32"/>
          <w:lang w:eastAsia="zh-CN"/>
        </w:rPr>
        <w:t>绩的</w:t>
      </w:r>
      <w:r>
        <w:rPr>
          <w:rFonts w:hint="default" w:ascii="Times New Roman" w:hAnsi="Times New Roman" w:cs="Times New Roman"/>
          <w:color w:val="auto"/>
          <w:szCs w:val="32"/>
        </w:rPr>
        <w:t>同时，</w:t>
      </w:r>
      <w:r>
        <w:rPr>
          <w:rFonts w:hint="default" w:ascii="Times New Roman" w:hAnsi="Times New Roman" w:eastAsia="仿宋_GB2312" w:cs="Times New Roman"/>
          <w:color w:val="auto"/>
          <w:sz w:val="32"/>
          <w:szCs w:val="32"/>
          <w:lang w:val="en-US" w:eastAsia="zh-CN"/>
        </w:rPr>
        <w:t>必须清醒地看到，</w:t>
      </w:r>
      <w:r>
        <w:rPr>
          <w:rFonts w:hint="default" w:ascii="Times New Roman" w:hAnsi="Times New Roman" w:cs="Times New Roman"/>
          <w:color w:val="auto"/>
          <w:sz w:val="32"/>
          <w:szCs w:val="32"/>
          <w:lang w:val="en-US" w:eastAsia="zh-CN"/>
        </w:rPr>
        <w:t>全区发展不平衡不充分问题依然突出，仍存在短板和弱项。</w:t>
      </w:r>
    </w:p>
    <w:p w14:paraId="40B49B5F">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kern w:val="0"/>
          <w:sz w:val="32"/>
          <w:szCs w:val="32"/>
          <w:lang w:val="en-US" w:eastAsia="zh-CN" w:bidi="ar"/>
        </w:rPr>
      </w:pPr>
      <w:r>
        <w:rPr>
          <w:rFonts w:hint="default" w:ascii="Times New Roman" w:hAnsi="Times New Roman" w:eastAsia="楷体_GB2312" w:cs="Times New Roman"/>
          <w:b w:val="0"/>
          <w:bCs w:val="0"/>
          <w:color w:val="auto"/>
          <w:sz w:val="32"/>
          <w:szCs w:val="32"/>
          <w:lang w:val="en-US" w:eastAsia="zh-CN"/>
        </w:rPr>
        <w:t>一是经济总量仍然不大，引领地位作用不强。</w:t>
      </w:r>
      <w:r>
        <w:rPr>
          <w:rFonts w:hint="default" w:ascii="Times New Roman" w:hAnsi="Times New Roman" w:cs="Times New Roman"/>
          <w:b w:val="0"/>
          <w:bCs w:val="0"/>
          <w:color w:val="auto"/>
          <w:sz w:val="32"/>
          <w:szCs w:val="32"/>
          <w:lang w:val="en-US" w:eastAsia="zh-CN"/>
        </w:rPr>
        <w:t>汉台区经济总量虽在全市处于领先地位，但与全省经济强区差距依然明显。</w:t>
      </w:r>
      <w:r>
        <w:rPr>
          <w:rFonts w:hint="default" w:ascii="Times New Roman" w:hAnsi="Times New Roman" w:eastAsia="仿宋_GB2312" w:cs="Times New Roman"/>
          <w:color w:val="auto"/>
          <w:kern w:val="0"/>
          <w:sz w:val="32"/>
          <w:szCs w:val="32"/>
          <w:lang w:val="en-US" w:eastAsia="zh-CN" w:bidi="ar"/>
        </w:rPr>
        <w:t>全市龙头作用地位不强，对资源要素聚集能力不突出</w:t>
      </w:r>
      <w:r>
        <w:rPr>
          <w:rFonts w:hint="default" w:ascii="Times New Roman" w:hAnsi="Times New Roman" w:cs="Times New Roman"/>
          <w:color w:val="auto"/>
          <w:kern w:val="0"/>
          <w:sz w:val="32"/>
          <w:szCs w:val="32"/>
          <w:lang w:val="en-US" w:eastAsia="zh-CN" w:bidi="ar"/>
        </w:rPr>
        <w:t>。</w:t>
      </w:r>
    </w:p>
    <w:p w14:paraId="7529ECEE">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二是产业发展基础不牢，转型升级仍需加强。</w:t>
      </w:r>
      <w:r>
        <w:rPr>
          <w:rFonts w:hint="default" w:ascii="Times New Roman" w:hAnsi="Times New Roman" w:eastAsia="仿宋_GB2312" w:cs="Times New Roman"/>
          <w:color w:val="auto"/>
          <w:sz w:val="32"/>
          <w:szCs w:val="32"/>
          <w:lang w:val="en-US" w:eastAsia="zh-CN"/>
        </w:rPr>
        <w:t>工业</w:t>
      </w:r>
      <w:r>
        <w:rPr>
          <w:rFonts w:hint="default" w:ascii="Times New Roman" w:hAnsi="Times New Roman" w:cs="Times New Roman"/>
          <w:color w:val="auto"/>
          <w:sz w:val="32"/>
          <w:szCs w:val="32"/>
          <w:lang w:val="en-US" w:eastAsia="zh-CN"/>
        </w:rPr>
        <w:t>经济占生产总值比重过小</w:t>
      </w:r>
      <w:r>
        <w:rPr>
          <w:rFonts w:hint="default" w:ascii="Times New Roman" w:hAnsi="Times New Roman" w:eastAsia="仿宋_GB2312" w:cs="Times New Roman"/>
          <w:color w:val="auto"/>
          <w:sz w:val="32"/>
          <w:szCs w:val="32"/>
          <w:lang w:val="en-US" w:eastAsia="zh-CN"/>
        </w:rPr>
        <w:t>，</w:t>
      </w:r>
      <w:r>
        <w:rPr>
          <w:rFonts w:hint="default" w:ascii="Times New Roman" w:hAnsi="Times New Roman" w:cs="Times New Roman"/>
          <w:color w:val="auto"/>
          <w:sz w:val="32"/>
          <w:szCs w:val="32"/>
          <w:lang w:val="en-US" w:eastAsia="zh-CN"/>
        </w:rPr>
        <w:t>主导</w:t>
      </w:r>
      <w:r>
        <w:rPr>
          <w:rFonts w:hint="default" w:ascii="Times New Roman" w:hAnsi="Times New Roman" w:cs="Times New Roman"/>
          <w:color w:val="auto"/>
          <w:sz w:val="32"/>
          <w:szCs w:val="32"/>
        </w:rPr>
        <w:t>产业</w:t>
      </w:r>
      <w:r>
        <w:rPr>
          <w:rFonts w:hint="default" w:ascii="Times New Roman" w:hAnsi="Times New Roman" w:cs="Times New Roman"/>
          <w:color w:val="auto"/>
          <w:sz w:val="32"/>
          <w:szCs w:val="32"/>
          <w:lang w:val="en-US" w:eastAsia="zh-CN"/>
        </w:rPr>
        <w:t>规模不大</w:t>
      </w:r>
      <w:r>
        <w:rPr>
          <w:rFonts w:hint="default" w:ascii="Times New Roman" w:hAnsi="Times New Roman" w:cs="Times New Roman"/>
          <w:color w:val="auto"/>
          <w:sz w:val="32"/>
          <w:szCs w:val="32"/>
        </w:rPr>
        <w:t>。</w:t>
      </w:r>
      <w:r>
        <w:rPr>
          <w:rFonts w:hint="default" w:ascii="Times New Roman" w:hAnsi="Times New Roman" w:eastAsia="仿宋_GB2312" w:cs="Times New Roman"/>
          <w:color w:val="auto"/>
          <w:sz w:val="32"/>
          <w:szCs w:val="32"/>
        </w:rPr>
        <w:t>现代物流、</w:t>
      </w:r>
      <w:r>
        <w:rPr>
          <w:rFonts w:hint="default" w:ascii="Times New Roman" w:hAnsi="Times New Roman" w:cs="Times New Roman"/>
          <w:color w:val="auto"/>
          <w:sz w:val="32"/>
          <w:szCs w:val="32"/>
          <w:lang w:val="en-US" w:eastAsia="zh-CN"/>
        </w:rPr>
        <w:t>现代</w:t>
      </w:r>
      <w:r>
        <w:rPr>
          <w:rFonts w:hint="default" w:ascii="Times New Roman" w:hAnsi="Times New Roman" w:eastAsia="仿宋_GB2312" w:cs="Times New Roman"/>
          <w:color w:val="auto"/>
          <w:sz w:val="32"/>
          <w:szCs w:val="32"/>
        </w:rPr>
        <w:t>金融、科技服务等现代服务业</w:t>
      </w:r>
      <w:r>
        <w:rPr>
          <w:rFonts w:hint="default" w:ascii="Times New Roman" w:hAnsi="Times New Roman" w:cs="Times New Roman"/>
          <w:color w:val="auto"/>
          <w:sz w:val="32"/>
          <w:szCs w:val="32"/>
          <w:lang w:val="en-US" w:eastAsia="zh-CN"/>
        </w:rPr>
        <w:t>支撑作用不强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农业基础仍不稳固，</w:t>
      </w:r>
      <w:r>
        <w:rPr>
          <w:rFonts w:hint="default" w:ascii="Times New Roman" w:hAnsi="Times New Roman" w:cs="Times New Roman"/>
          <w:color w:val="auto"/>
          <w:sz w:val="32"/>
          <w:szCs w:val="32"/>
          <w:lang w:val="en-US" w:eastAsia="zh-CN"/>
        </w:rPr>
        <w:t>主导</w:t>
      </w:r>
      <w:r>
        <w:rPr>
          <w:rFonts w:hint="default" w:ascii="Times New Roman" w:hAnsi="Times New Roman" w:eastAsia="仿宋_GB2312" w:cs="Times New Roman"/>
          <w:color w:val="auto"/>
          <w:sz w:val="32"/>
          <w:szCs w:val="32"/>
        </w:rPr>
        <w:t>产业</w:t>
      </w:r>
      <w:r>
        <w:rPr>
          <w:rFonts w:hint="eastAsia" w:cs="Times New Roman"/>
          <w:color w:val="auto"/>
          <w:sz w:val="32"/>
          <w:szCs w:val="32"/>
          <w:lang w:eastAsia="zh-CN"/>
        </w:rPr>
        <w:t>“</w:t>
      </w:r>
      <w:r>
        <w:rPr>
          <w:rFonts w:hint="default" w:ascii="Times New Roman" w:hAnsi="Times New Roman" w:eastAsia="仿宋_GB2312" w:cs="Times New Roman"/>
          <w:color w:val="auto"/>
          <w:sz w:val="32"/>
          <w:szCs w:val="32"/>
        </w:rPr>
        <w:t>小而散</w:t>
      </w:r>
      <w:r>
        <w:rPr>
          <w:rFonts w:hint="eastAsia" w:cs="Times New Roman"/>
          <w:color w:val="auto"/>
          <w:sz w:val="32"/>
          <w:szCs w:val="32"/>
          <w:lang w:eastAsia="zh-CN"/>
        </w:rPr>
        <w:t>”</w:t>
      </w:r>
      <w:r>
        <w:rPr>
          <w:rFonts w:hint="default" w:ascii="Times New Roman" w:hAnsi="Times New Roman" w:cs="Times New Roman"/>
          <w:color w:val="auto"/>
          <w:sz w:val="32"/>
          <w:szCs w:val="32"/>
          <w:lang w:val="en-US" w:eastAsia="zh-CN"/>
        </w:rPr>
        <w:t>。</w:t>
      </w:r>
    </w:p>
    <w:p w14:paraId="6C747131">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sz w:val="32"/>
          <w:szCs w:val="32"/>
          <w:lang w:eastAsia="zh-CN"/>
        </w:rPr>
      </w:pPr>
      <w:r>
        <w:rPr>
          <w:rFonts w:hint="default" w:ascii="Times New Roman" w:hAnsi="Times New Roman" w:eastAsia="楷体_GB2312" w:cs="Times New Roman"/>
          <w:b w:val="0"/>
          <w:bCs w:val="0"/>
          <w:color w:val="auto"/>
          <w:sz w:val="32"/>
          <w:szCs w:val="32"/>
          <w:lang w:val="en-US" w:eastAsia="zh-CN"/>
        </w:rPr>
        <w:t>三是创新发展水平不高，各类人才出现短缺。</w:t>
      </w:r>
      <w:r>
        <w:rPr>
          <w:rFonts w:hint="default" w:ascii="Times New Roman" w:hAnsi="Times New Roman" w:eastAsia="仿宋_GB2312" w:cs="Times New Roman"/>
          <w:color w:val="auto"/>
          <w:sz w:val="32"/>
          <w:szCs w:val="32"/>
        </w:rPr>
        <w:t>全社会研发投入强度</w:t>
      </w:r>
      <w:r>
        <w:rPr>
          <w:rFonts w:hint="default" w:ascii="Times New Roman" w:hAnsi="Times New Roman" w:cs="Times New Roman"/>
          <w:color w:val="auto"/>
          <w:sz w:val="32"/>
          <w:szCs w:val="32"/>
          <w:lang w:val="en-US" w:eastAsia="zh-CN"/>
        </w:rPr>
        <w:t>1.17</w:t>
      </w:r>
      <w:r>
        <w:rPr>
          <w:rFonts w:hint="default" w:ascii="Times New Roman" w:hAnsi="Times New Roman" w:eastAsia="仿宋_GB2312" w:cs="Times New Roman"/>
          <w:color w:val="auto"/>
          <w:sz w:val="32"/>
          <w:szCs w:val="32"/>
        </w:rPr>
        <w:t>%，低于全国2.</w:t>
      </w:r>
      <w:r>
        <w:rPr>
          <w:rFonts w:hint="default" w:ascii="Times New Roman" w:hAnsi="Times New Roman" w:cs="Times New Roman"/>
          <w:color w:val="auto"/>
          <w:sz w:val="32"/>
          <w:szCs w:val="32"/>
          <w:lang w:val="en-US" w:eastAsia="zh-CN"/>
        </w:rPr>
        <w:t>68</w:t>
      </w:r>
      <w:r>
        <w:rPr>
          <w:rFonts w:hint="default" w:ascii="Times New Roman" w:hAnsi="Times New Roman" w:eastAsia="仿宋_GB2312" w:cs="Times New Roman"/>
          <w:color w:val="auto"/>
          <w:sz w:val="32"/>
          <w:szCs w:val="32"/>
        </w:rPr>
        <w:t>%、全省2.</w:t>
      </w:r>
      <w:r>
        <w:rPr>
          <w:rFonts w:hint="default" w:ascii="Times New Roman" w:hAnsi="Times New Roman" w:cs="Times New Roman"/>
          <w:color w:val="auto"/>
          <w:sz w:val="32"/>
          <w:szCs w:val="32"/>
          <w:lang w:val="en-US" w:eastAsia="zh-CN"/>
        </w:rPr>
        <w:t>66</w:t>
      </w:r>
      <w:r>
        <w:rPr>
          <w:rFonts w:hint="default" w:ascii="Times New Roman" w:hAnsi="Times New Roman" w:eastAsia="仿宋_GB2312" w:cs="Times New Roman"/>
          <w:color w:val="auto"/>
          <w:sz w:val="32"/>
          <w:szCs w:val="32"/>
        </w:rPr>
        <w:t>%的平均水平</w:t>
      </w:r>
      <w:r>
        <w:rPr>
          <w:rFonts w:hint="default" w:ascii="Times New Roman" w:hAnsi="Times New Roman" w:cs="Times New Roman"/>
          <w:color w:val="auto"/>
          <w:sz w:val="32"/>
          <w:szCs w:val="32"/>
          <w:lang w:eastAsia="zh-CN"/>
        </w:rPr>
        <w:t>；</w:t>
      </w:r>
      <w:r>
        <w:rPr>
          <w:rFonts w:hint="default" w:ascii="Times New Roman" w:hAnsi="Times New Roman" w:eastAsia="仿宋_GB2312" w:cs="Times New Roman"/>
          <w:color w:val="auto"/>
          <w:sz w:val="32"/>
          <w:szCs w:val="32"/>
        </w:rPr>
        <w:t>每万人口</w:t>
      </w:r>
      <w:r>
        <w:rPr>
          <w:rFonts w:hint="default" w:ascii="Times New Roman" w:hAnsi="Times New Roman" w:cs="Times New Roman"/>
          <w:color w:val="auto"/>
          <w:sz w:val="32"/>
          <w:szCs w:val="32"/>
          <w:lang w:val="en-US" w:eastAsia="zh-CN"/>
        </w:rPr>
        <w:t>高价值</w:t>
      </w:r>
      <w:r>
        <w:rPr>
          <w:rFonts w:hint="default" w:ascii="Times New Roman" w:hAnsi="Times New Roman" w:eastAsia="仿宋_GB2312" w:cs="Times New Roman"/>
          <w:color w:val="auto"/>
          <w:sz w:val="32"/>
          <w:szCs w:val="32"/>
        </w:rPr>
        <w:t>发明专利拥有量</w:t>
      </w:r>
      <w:r>
        <w:rPr>
          <w:rFonts w:hint="default" w:ascii="Times New Roman" w:hAnsi="Times New Roman" w:cs="Times New Roman"/>
          <w:color w:val="auto"/>
          <w:sz w:val="32"/>
          <w:szCs w:val="32"/>
          <w:lang w:val="en-US" w:eastAsia="zh-CN"/>
        </w:rPr>
        <w:t>2.35</w:t>
      </w:r>
      <w:r>
        <w:rPr>
          <w:rFonts w:hint="default" w:ascii="Times New Roman" w:hAnsi="Times New Roman" w:eastAsia="仿宋_GB2312" w:cs="Times New Roman"/>
          <w:color w:val="auto"/>
          <w:sz w:val="32"/>
          <w:szCs w:val="32"/>
          <w:lang w:val="en-US" w:eastAsia="zh-CN"/>
        </w:rPr>
        <w:t>件，与全国平均水平（</w:t>
      </w:r>
      <w:r>
        <w:rPr>
          <w:rFonts w:hint="default" w:ascii="Times New Roman" w:hAnsi="Times New Roman" w:cs="Times New Roman"/>
          <w:color w:val="auto"/>
          <w:sz w:val="32"/>
          <w:szCs w:val="32"/>
          <w:lang w:val="en-US" w:eastAsia="zh-CN"/>
        </w:rPr>
        <w:t>14</w:t>
      </w:r>
      <w:r>
        <w:rPr>
          <w:rFonts w:hint="default" w:ascii="Times New Roman" w:hAnsi="Times New Roman" w:eastAsia="仿宋_GB2312" w:cs="Times New Roman"/>
          <w:color w:val="auto"/>
          <w:sz w:val="32"/>
          <w:szCs w:val="32"/>
          <w:lang w:val="en-US" w:eastAsia="zh-CN"/>
        </w:rPr>
        <w:t>件）、全省平均水平（</w:t>
      </w:r>
      <w:r>
        <w:rPr>
          <w:rFonts w:hint="default" w:ascii="Times New Roman" w:hAnsi="Times New Roman" w:cs="Times New Roman"/>
          <w:color w:val="auto"/>
          <w:sz w:val="32"/>
          <w:szCs w:val="32"/>
          <w:lang w:val="en-US" w:eastAsia="zh-CN"/>
        </w:rPr>
        <w:t>11.96</w:t>
      </w:r>
      <w:r>
        <w:rPr>
          <w:rFonts w:hint="default" w:ascii="Times New Roman" w:hAnsi="Times New Roman" w:eastAsia="仿宋_GB2312" w:cs="Times New Roman"/>
          <w:color w:val="auto"/>
          <w:sz w:val="32"/>
          <w:szCs w:val="32"/>
          <w:lang w:val="en-US" w:eastAsia="zh-CN"/>
        </w:rPr>
        <w:t>件）差距</w:t>
      </w:r>
      <w:r>
        <w:rPr>
          <w:rFonts w:hint="default" w:ascii="Times New Roman" w:hAnsi="Times New Roman" w:cs="Times New Roman"/>
          <w:color w:val="auto"/>
          <w:sz w:val="32"/>
          <w:szCs w:val="32"/>
          <w:lang w:val="en-US" w:eastAsia="zh-CN"/>
        </w:rPr>
        <w:t>明显。</w:t>
      </w:r>
      <w:r>
        <w:rPr>
          <w:rFonts w:hint="default" w:ascii="Times New Roman" w:hAnsi="Times New Roman" w:eastAsia="仿宋_GB2312" w:cs="Times New Roman"/>
          <w:color w:val="auto"/>
          <w:sz w:val="32"/>
          <w:szCs w:val="32"/>
        </w:rPr>
        <w:t>科技领军人才和创新团队偏少，技术人才、管理人才紧缺，技术工人</w:t>
      </w:r>
      <w:r>
        <w:rPr>
          <w:rFonts w:hint="default" w:ascii="Times New Roman" w:hAnsi="Times New Roman" w:cs="Times New Roman"/>
          <w:color w:val="auto"/>
          <w:sz w:val="32"/>
          <w:szCs w:val="32"/>
          <w:lang w:val="en-US" w:eastAsia="zh-CN"/>
        </w:rPr>
        <w:t>数量不足</w:t>
      </w:r>
      <w:r>
        <w:rPr>
          <w:rFonts w:hint="default" w:ascii="Times New Roman" w:hAnsi="Times New Roman" w:eastAsia="仿宋_GB2312" w:cs="Times New Roman"/>
          <w:color w:val="auto"/>
          <w:sz w:val="32"/>
          <w:szCs w:val="32"/>
          <w:lang w:eastAsia="zh-CN"/>
        </w:rPr>
        <w:t>。</w:t>
      </w:r>
    </w:p>
    <w:p w14:paraId="623CD1BD">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 w:val="32"/>
          <w:szCs w:val="32"/>
        </w:rPr>
      </w:pPr>
      <w:r>
        <w:rPr>
          <w:rFonts w:hint="default" w:ascii="Times New Roman" w:hAnsi="Times New Roman" w:eastAsia="楷体_GB2312" w:cs="Times New Roman"/>
          <w:b w:val="0"/>
          <w:bCs w:val="0"/>
          <w:color w:val="auto"/>
          <w:sz w:val="32"/>
          <w:szCs w:val="32"/>
          <w:lang w:val="en-US" w:eastAsia="zh-CN"/>
        </w:rPr>
        <w:t>四是城市功能配套不足，社会管理任务繁重。</w:t>
      </w:r>
      <w:r>
        <w:rPr>
          <w:rFonts w:hint="default" w:ascii="Times New Roman" w:hAnsi="Times New Roman" w:cs="Times New Roman"/>
          <w:b w:val="0"/>
          <w:bCs w:val="0"/>
          <w:color w:val="auto"/>
          <w:sz w:val="32"/>
          <w:szCs w:val="32"/>
          <w:lang w:val="en-US" w:eastAsia="zh-CN"/>
        </w:rPr>
        <w:t>城市更新工作任务繁重，</w:t>
      </w:r>
      <w:r>
        <w:rPr>
          <w:rFonts w:hint="default" w:ascii="Times New Roman" w:hAnsi="Times New Roman" w:eastAsia="仿宋_GB2312" w:cs="Times New Roman"/>
          <w:b w:val="0"/>
          <w:bCs w:val="0"/>
          <w:color w:val="auto"/>
          <w:sz w:val="32"/>
          <w:szCs w:val="32"/>
          <w:lang w:val="en-US" w:eastAsia="zh-CN"/>
        </w:rPr>
        <w:t>基础设施、公共服务、民生保障等</w:t>
      </w:r>
      <w:r>
        <w:rPr>
          <w:rFonts w:hint="default" w:ascii="Times New Roman" w:hAnsi="Times New Roman" w:cs="Times New Roman"/>
          <w:b w:val="0"/>
          <w:bCs w:val="0"/>
          <w:color w:val="auto"/>
          <w:sz w:val="32"/>
          <w:szCs w:val="32"/>
          <w:lang w:val="en-US" w:eastAsia="zh-CN"/>
        </w:rPr>
        <w:t>服务供给水平</w:t>
      </w:r>
      <w:r>
        <w:rPr>
          <w:rFonts w:hint="default" w:ascii="Times New Roman" w:hAnsi="Times New Roman" w:eastAsia="仿宋_GB2312" w:cs="Times New Roman"/>
          <w:b w:val="0"/>
          <w:bCs w:val="0"/>
          <w:color w:val="auto"/>
          <w:sz w:val="32"/>
          <w:szCs w:val="32"/>
          <w:lang w:val="en-US" w:eastAsia="zh-CN"/>
        </w:rPr>
        <w:t>与群众对美好生活的新期盼还有差距</w:t>
      </w:r>
      <w:r>
        <w:rPr>
          <w:rFonts w:hint="default" w:ascii="Times New Roman" w:hAnsi="Times New Roman" w:cs="Times New Roman"/>
          <w:b w:val="0"/>
          <w:bCs w:val="0"/>
          <w:color w:val="auto"/>
          <w:sz w:val="32"/>
          <w:szCs w:val="32"/>
          <w:lang w:val="en-US" w:eastAsia="zh-CN"/>
        </w:rPr>
        <w:t>，</w:t>
      </w:r>
      <w:r>
        <w:rPr>
          <w:rFonts w:hint="default" w:ascii="Times New Roman" w:hAnsi="Times New Roman" w:cs="Times New Roman"/>
          <w:b w:val="0"/>
          <w:bCs/>
          <w:color w:val="auto"/>
          <w:sz w:val="32"/>
          <w:szCs w:val="32"/>
          <w:highlight w:val="none"/>
          <w:lang w:val="en-US" w:eastAsia="zh-CN"/>
        </w:rPr>
        <w:t>人口结构变化给经济发展、社会治理等提出新课题，</w:t>
      </w:r>
      <w:r>
        <w:rPr>
          <w:rFonts w:hint="default" w:ascii="Times New Roman" w:hAnsi="Times New Roman" w:eastAsia="仿宋_GB2312" w:cs="Times New Roman"/>
          <w:b w:val="0"/>
          <w:bCs w:val="0"/>
          <w:color w:val="auto"/>
          <w:sz w:val="32"/>
          <w:szCs w:val="32"/>
          <w:lang w:val="en-US" w:eastAsia="zh-CN"/>
        </w:rPr>
        <w:t>社会治理水平仍有待提高</w:t>
      </w:r>
      <w:r>
        <w:rPr>
          <w:rFonts w:hint="default" w:ascii="Times New Roman" w:hAnsi="Times New Roman" w:cs="Times New Roman"/>
          <w:color w:val="auto"/>
          <w:sz w:val="32"/>
          <w:szCs w:val="32"/>
        </w:rPr>
        <w:t>。</w:t>
      </w:r>
    </w:p>
    <w:p w14:paraId="491AA004">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五是金融支持渠道不多，财政收支矛盾突出。</w:t>
      </w:r>
      <w:r>
        <w:rPr>
          <w:rFonts w:hint="default" w:ascii="Times New Roman" w:hAnsi="Times New Roman" w:eastAsia="仿宋_GB2312" w:cs="Times New Roman"/>
          <w:b w:val="0"/>
          <w:bCs w:val="0"/>
          <w:color w:val="auto"/>
          <w:sz w:val="32"/>
          <w:szCs w:val="32"/>
          <w:lang w:val="en-US" w:eastAsia="zh-CN"/>
        </w:rPr>
        <w:t>地方财源培育</w:t>
      </w:r>
      <w:r>
        <w:rPr>
          <w:rFonts w:hint="default" w:ascii="Times New Roman" w:hAnsi="Times New Roman" w:cs="Times New Roman"/>
          <w:b w:val="0"/>
          <w:bCs w:val="0"/>
          <w:color w:val="auto"/>
          <w:sz w:val="32"/>
          <w:szCs w:val="32"/>
          <w:lang w:val="en-US" w:eastAsia="zh-CN"/>
        </w:rPr>
        <w:t>不足</w:t>
      </w:r>
      <w:r>
        <w:rPr>
          <w:rFonts w:hint="default" w:ascii="Times New Roman" w:hAnsi="Times New Roman" w:eastAsia="仿宋_GB2312" w:cs="Times New Roman"/>
          <w:b w:val="0"/>
          <w:bCs w:val="0"/>
          <w:color w:val="auto"/>
          <w:sz w:val="32"/>
          <w:szCs w:val="32"/>
          <w:lang w:val="en-US" w:eastAsia="zh-CN"/>
        </w:rPr>
        <w:t>，金融政策工具穿透使用有待发力，城市建管、乡村振兴、环境保护、教育、医疗、卫生、养老等领域刚性支出需求不断增长，财政收支呈现紧平衡态势。</w:t>
      </w:r>
    </w:p>
    <w:p w14:paraId="0EBC78C5">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六是区域协调深度不够，发展理念仍需创新。</w:t>
      </w:r>
      <w:r>
        <w:rPr>
          <w:rFonts w:hint="default" w:ascii="Times New Roman" w:hAnsi="Times New Roman" w:cs="Times New Roman"/>
          <w:color w:val="auto"/>
          <w:szCs w:val="32"/>
        </w:rPr>
        <w:t>汉台区对外开放的广度和层次不够，外向型经济规模较小，与周边区域协同发展不足</w:t>
      </w:r>
      <w:r>
        <w:rPr>
          <w:rFonts w:hint="default" w:ascii="Times New Roman" w:hAnsi="Times New Roman" w:cs="Times New Roman"/>
          <w:color w:val="auto"/>
          <w:szCs w:val="32"/>
          <w:lang w:eastAsia="zh-CN"/>
        </w:rPr>
        <w:t>，服务</w:t>
      </w:r>
      <w:r>
        <w:rPr>
          <w:rFonts w:hint="default" w:ascii="Times New Roman" w:hAnsi="Times New Roman" w:cs="Times New Roman"/>
          <w:color w:val="auto"/>
          <w:szCs w:val="32"/>
          <w:lang w:val="en-US" w:eastAsia="zh-CN"/>
        </w:rPr>
        <w:t>全市现代区域中心城市建设</w:t>
      </w:r>
      <w:r>
        <w:rPr>
          <w:rFonts w:hint="default" w:ascii="Times New Roman" w:hAnsi="Times New Roman" w:cs="Times New Roman"/>
          <w:color w:val="auto"/>
          <w:szCs w:val="32"/>
          <w:lang w:eastAsia="zh-CN"/>
        </w:rPr>
        <w:t>能力有待增强</w:t>
      </w:r>
      <w:r>
        <w:rPr>
          <w:rFonts w:hint="default" w:ascii="Times New Roman" w:hAnsi="Times New Roman" w:cs="Times New Roman"/>
          <w:color w:val="auto"/>
          <w:szCs w:val="32"/>
          <w:lang w:val="en-US" w:eastAsia="zh-CN"/>
        </w:rPr>
        <w:t>。重点领域改革还需深化，营商环境中仍存在一些亟待解决的堵点和</w:t>
      </w:r>
      <w:r>
        <w:rPr>
          <w:rFonts w:hint="default" w:ascii="Times New Roman" w:hAnsi="Times New Roman" w:eastAsia="仿宋_GB2312" w:cs="Times New Roman"/>
          <w:color w:val="auto"/>
          <w:sz w:val="32"/>
          <w:szCs w:val="32"/>
          <w:lang w:val="en-US" w:eastAsia="zh-CN"/>
        </w:rPr>
        <w:t>难点，</w:t>
      </w:r>
      <w:r>
        <w:rPr>
          <w:rFonts w:hint="default" w:ascii="Times New Roman" w:hAnsi="Times New Roman" w:cs="Times New Roman"/>
          <w:color w:val="auto"/>
          <w:szCs w:val="32"/>
          <w:lang w:eastAsia="zh-CN"/>
        </w:rPr>
        <w:t>对优质资源和高端要素吸纳能力不强。</w:t>
      </w:r>
    </w:p>
    <w:bookmarkEnd w:id="21"/>
    <w:p w14:paraId="1DF96BA7">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 w:val="32"/>
          <w:szCs w:val="32"/>
          <w:rtl w:val="0"/>
          <w:lang w:val="en-US" w:eastAsia="zh-CN"/>
        </w:rPr>
      </w:pPr>
      <w:r>
        <w:rPr>
          <w:rFonts w:hint="default" w:ascii="Times New Roman" w:hAnsi="Times New Roman" w:cs="Times New Roman"/>
          <w:color w:val="auto"/>
          <w:sz w:val="32"/>
          <w:szCs w:val="32"/>
          <w:rtl w:val="0"/>
          <w:lang w:val="en-US" w:eastAsia="zh-CN"/>
        </w:rPr>
        <w:t>综合研判，汉台区</w:t>
      </w:r>
      <w:r>
        <w:rPr>
          <w:rFonts w:hint="default" w:ascii="Times New Roman" w:hAnsi="Times New Roman" w:eastAsia="仿宋_GB2312" w:cs="Times New Roman"/>
          <w:color w:val="auto"/>
          <w:sz w:val="32"/>
          <w:szCs w:val="32"/>
          <w:highlight w:val="none"/>
          <w:rtl w:val="0"/>
          <w:lang w:val="en-US" w:eastAsia="zh-CN"/>
        </w:rPr>
        <w:t>发展处于战略机遇和风险挑战并存、不确定难预料因素增多的时期。</w:t>
      </w:r>
      <w:r>
        <w:rPr>
          <w:rFonts w:hint="default" w:ascii="Times New Roman" w:hAnsi="Times New Roman" w:cs="Times New Roman"/>
          <w:color w:val="auto"/>
          <w:sz w:val="32"/>
          <w:szCs w:val="32"/>
          <w:rtl w:val="0"/>
          <w:lang w:val="en-US" w:eastAsia="zh-CN"/>
        </w:rPr>
        <w:t>全区上下必须保持战略定力，增强必胜信心，积极识变应变求变，统筹好消费和投资、投资于物和投资于人、培育新动能和更新旧动能、做优增量和盘活存量、有效市场和有为政府等诸多重要关系，在巩固拓展优势、破除瓶颈制约、补齐短板弱项上久久为功，以高质量发展的确定性应对各种不确定性，奋力在中国式现代化建设中谱写汉台新篇章。</w:t>
      </w:r>
    </w:p>
    <w:p w14:paraId="34D40B93">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CESI黑体-GB2312" w:hAnsi="CESI黑体-GB2312" w:eastAsia="CESI黑体-GB2312" w:cs="CESI黑体-GB2312"/>
          <w:b w:val="0"/>
          <w:bCs/>
          <w:color w:val="auto"/>
          <w:lang w:val="en-US" w:eastAsia="zh-CN"/>
        </w:rPr>
      </w:pPr>
      <w:bookmarkStart w:id="25" w:name="_Toc14274"/>
      <w:bookmarkStart w:id="26" w:name="_Toc15864"/>
      <w:bookmarkStart w:id="27" w:name="_Toc6742"/>
      <w:r>
        <w:rPr>
          <w:rFonts w:hint="eastAsia" w:ascii="CESI黑体-GB2312" w:hAnsi="CESI黑体-GB2312" w:eastAsia="CESI黑体-GB2312" w:cs="CESI黑体-GB2312"/>
          <w:b w:val="0"/>
          <w:bCs/>
          <w:color w:val="auto"/>
          <w:lang w:val="en-US" w:eastAsia="zh-CN"/>
        </w:rPr>
        <w:t>第三节  总体要求</w:t>
      </w:r>
      <w:bookmarkEnd w:id="25"/>
      <w:bookmarkEnd w:id="26"/>
      <w:bookmarkEnd w:id="27"/>
    </w:p>
    <w:p w14:paraId="053A0676">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rtl w:val="0"/>
          <w:lang w:val="en-US" w:eastAsia="zh-CN"/>
        </w:rPr>
      </w:pPr>
      <w:bookmarkStart w:id="28" w:name="_Toc2400"/>
      <w:bookmarkStart w:id="29" w:name="_Toc24394"/>
      <w:r>
        <w:rPr>
          <w:rFonts w:hint="default" w:ascii="Times New Roman" w:hAnsi="Times New Roman" w:eastAsia="黑体" w:cs="Times New Roman"/>
          <w:b w:val="0"/>
          <w:bCs/>
          <w:color w:val="auto"/>
          <w:sz w:val="32"/>
          <w:szCs w:val="32"/>
          <w:rtl w:val="0"/>
          <w:lang w:val="en-US" w:eastAsia="zh-CN"/>
        </w:rPr>
        <w:t>一、指导思想</w:t>
      </w:r>
      <w:bookmarkEnd w:id="28"/>
      <w:bookmarkEnd w:id="29"/>
    </w:p>
    <w:p w14:paraId="309AD44D">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 w:val="32"/>
          <w:szCs w:val="32"/>
          <w:rtl w:val="0"/>
          <w:lang w:val="en-US" w:eastAsia="zh-CN"/>
        </w:rPr>
      </w:pPr>
      <w:r>
        <w:rPr>
          <w:rFonts w:hint="default" w:ascii="Times New Roman" w:hAnsi="Times New Roman" w:cs="Times New Roman"/>
          <w:color w:val="auto"/>
          <w:sz w:val="32"/>
          <w:szCs w:val="32"/>
          <w:rtl w:val="0"/>
          <w:lang w:val="en-US" w:eastAsia="zh-CN"/>
        </w:rPr>
        <w:t>以习近平新时代中国特色社会主义思想为指导，深入贯彻党的二十大和二十届历次全会精神，认真落实习近平总书记历次来陕考察重要讲话重要指示精神、习近平总书记来汉中考察重要指示精神，统筹推进</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五位一体</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总体布局，协调推进</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四个全面</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战略布局，完整准确全面贯彻新发展理念，主动融入和服务构建新发展格局，坚持稳中求进工作总基调，坚持以经济建设为中心，以推动高质量发展为主题，以改革创新为根本动力，以满足人民日益增长的美好生活需要为根本目的，以全面从严治党为根本保障，贯通落实</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五个扎实</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五项要求</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四个着力</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，自觉扛起</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走在前列、争做示范</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和</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勇挑大梁、多作贡献</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的责任担当，大力实施</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1555</w:t>
      </w:r>
      <w:r>
        <w:rPr>
          <w:rFonts w:hint="eastAsia" w:cs="Times New Roman"/>
          <w:color w:val="auto"/>
          <w:sz w:val="32"/>
          <w:szCs w:val="32"/>
          <w:rtl w:val="0"/>
          <w:lang w:val="en-US" w:eastAsia="zh-CN"/>
        </w:rPr>
        <w:t>”</w:t>
      </w:r>
      <w:r>
        <w:rPr>
          <w:rFonts w:hint="default" w:ascii="Times New Roman" w:hAnsi="Times New Roman" w:cs="Times New Roman"/>
          <w:color w:val="auto"/>
          <w:sz w:val="32"/>
          <w:szCs w:val="32"/>
          <w:rtl w:val="0"/>
          <w:lang w:val="en-US" w:eastAsia="zh-CN"/>
        </w:rPr>
        <w:t>战略，推动经济实现质的有效提升和量的合理增长，推动人的全面发展、人民共同富裕迈出坚实步伐，确保汉台基本实现社会主义现代化取得决定性进展。</w:t>
      </w:r>
    </w:p>
    <w:tbl>
      <w:tblPr>
        <w:tblStyle w:val="14"/>
        <w:tblW w:w="0" w:type="auto"/>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0"/>
      </w:tblGrid>
      <w:tr w14:paraId="3155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8560" w:type="dxa"/>
            <w:noWrap w:val="0"/>
            <w:vAlign w:val="center"/>
          </w:tcPr>
          <w:p w14:paraId="53A6DF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黑体" w:cs="Times New Roman"/>
                <w:color w:val="auto"/>
                <w:sz w:val="28"/>
                <w:szCs w:val="28"/>
              </w:rPr>
              <w:t>汉台区</w:t>
            </w:r>
            <w:r>
              <w:rPr>
                <w:rFonts w:hint="eastAsia" w:eastAsia="黑体" w:cs="Times New Roman"/>
                <w:color w:val="auto"/>
                <w:sz w:val="28"/>
                <w:szCs w:val="28"/>
                <w:lang w:eastAsia="zh-CN"/>
              </w:rPr>
              <w:t>“</w:t>
            </w:r>
            <w:r>
              <w:rPr>
                <w:rFonts w:hint="default" w:ascii="Times New Roman" w:hAnsi="Times New Roman" w:eastAsia="黑体" w:cs="Times New Roman"/>
                <w:color w:val="auto"/>
                <w:sz w:val="28"/>
                <w:szCs w:val="28"/>
              </w:rPr>
              <w:t>十</w:t>
            </w:r>
            <w:r>
              <w:rPr>
                <w:rFonts w:hint="default" w:ascii="Times New Roman" w:hAnsi="Times New Roman" w:eastAsia="黑体" w:cs="Times New Roman"/>
                <w:color w:val="auto"/>
                <w:sz w:val="28"/>
                <w:szCs w:val="28"/>
                <w:lang w:val="en-US" w:eastAsia="zh-CN"/>
              </w:rPr>
              <w:t>五</w:t>
            </w:r>
            <w:r>
              <w:rPr>
                <w:rFonts w:hint="default" w:ascii="Times New Roman" w:hAnsi="Times New Roman" w:eastAsia="黑体" w:cs="Times New Roman"/>
                <w:color w:val="auto"/>
                <w:sz w:val="28"/>
                <w:szCs w:val="28"/>
              </w:rPr>
              <w:t>五</w:t>
            </w:r>
            <w:r>
              <w:rPr>
                <w:rFonts w:hint="eastAsia" w:eastAsia="黑体" w:cs="Times New Roman"/>
                <w:color w:val="auto"/>
                <w:sz w:val="28"/>
                <w:szCs w:val="28"/>
                <w:lang w:eastAsia="zh-CN"/>
              </w:rPr>
              <w:t>”</w:t>
            </w:r>
            <w:r>
              <w:rPr>
                <w:rFonts w:hint="default" w:ascii="Times New Roman" w:hAnsi="Times New Roman" w:eastAsia="黑体" w:cs="Times New Roman"/>
                <w:color w:val="auto"/>
                <w:sz w:val="28"/>
                <w:szCs w:val="28"/>
                <w:lang w:val="en-US" w:eastAsia="zh-CN"/>
              </w:rPr>
              <w:t>规划的</w:t>
            </w:r>
            <w:r>
              <w:rPr>
                <w:rFonts w:hint="eastAsia" w:eastAsia="黑体" w:cs="Times New Roman"/>
                <w:color w:val="auto"/>
                <w:sz w:val="28"/>
                <w:szCs w:val="28"/>
                <w:lang w:val="en-US" w:eastAsia="zh-CN"/>
              </w:rPr>
              <w:t>“</w:t>
            </w:r>
            <w:r>
              <w:rPr>
                <w:rFonts w:hint="default" w:ascii="Times New Roman" w:hAnsi="Times New Roman" w:eastAsia="黑体" w:cs="Times New Roman"/>
                <w:color w:val="auto"/>
                <w:sz w:val="28"/>
                <w:szCs w:val="28"/>
                <w:lang w:val="en-US" w:eastAsia="zh-CN"/>
              </w:rPr>
              <w:t>1555</w:t>
            </w:r>
            <w:r>
              <w:rPr>
                <w:rFonts w:hint="eastAsia" w:eastAsia="黑体" w:cs="Times New Roman"/>
                <w:color w:val="auto"/>
                <w:sz w:val="28"/>
                <w:szCs w:val="28"/>
                <w:lang w:val="en-US" w:eastAsia="zh-CN"/>
              </w:rPr>
              <w:t>”</w:t>
            </w:r>
            <w:r>
              <w:rPr>
                <w:rFonts w:hint="default" w:ascii="Times New Roman" w:hAnsi="Times New Roman" w:eastAsia="黑体" w:cs="Times New Roman"/>
                <w:color w:val="auto"/>
                <w:sz w:val="28"/>
                <w:szCs w:val="28"/>
                <w:lang w:val="en-US" w:eastAsia="zh-CN"/>
              </w:rPr>
              <w:t>发展战略</w:t>
            </w:r>
          </w:p>
        </w:tc>
      </w:tr>
      <w:tr w14:paraId="1567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6" w:hRule="atLeast"/>
        </w:trPr>
        <w:tc>
          <w:tcPr>
            <w:tcW w:w="8560" w:type="dxa"/>
            <w:noWrap w:val="0"/>
            <w:vAlign w:val="top"/>
          </w:tcPr>
          <w:p w14:paraId="06FB29B4">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0" w:firstLineChars="0"/>
              <w:textAlignment w:val="center"/>
              <w:rPr>
                <w:rFonts w:hint="default" w:ascii="Times New Roman" w:hAnsi="Times New Roman" w:eastAsia="仿宋_GB2312" w:cs="Times New Roman"/>
                <w:b w:val="0"/>
                <w:bCs w:val="0"/>
                <w:color w:val="auto"/>
                <w:kern w:val="0"/>
                <w:sz w:val="28"/>
                <w:szCs w:val="28"/>
                <w:lang w:val="en-US" w:eastAsia="zh-CN" w:bidi="ar"/>
              </w:rPr>
            </w:pPr>
            <w:r>
              <w:rPr>
                <w:rFonts w:hint="eastAsia" w:cs="Times New Roman"/>
                <w:b/>
                <w:bCs/>
                <w:color w:val="auto"/>
                <w:kern w:val="0"/>
                <w:sz w:val="28"/>
                <w:szCs w:val="28"/>
                <w:lang w:val="en-US" w:eastAsia="zh-CN" w:bidi="ar"/>
              </w:rPr>
              <w:t>“</w:t>
            </w:r>
            <w:r>
              <w:rPr>
                <w:rFonts w:hint="default" w:ascii="Times New Roman" w:hAnsi="Times New Roman" w:eastAsia="仿宋_GB2312" w:cs="Times New Roman"/>
                <w:b/>
                <w:bCs/>
                <w:color w:val="auto"/>
                <w:kern w:val="0"/>
                <w:sz w:val="28"/>
                <w:szCs w:val="28"/>
                <w:lang w:val="en-US" w:eastAsia="zh-CN" w:bidi="ar"/>
              </w:rPr>
              <w:t>1</w:t>
            </w:r>
            <w:r>
              <w:rPr>
                <w:rFonts w:hint="eastAsia" w:cs="Times New Roman"/>
                <w:b/>
                <w:bCs/>
                <w:color w:val="auto"/>
                <w:kern w:val="0"/>
                <w:sz w:val="28"/>
                <w:szCs w:val="28"/>
                <w:lang w:val="en-US" w:eastAsia="zh-CN" w:bidi="ar"/>
              </w:rPr>
              <w:t>”</w:t>
            </w:r>
            <w:r>
              <w:rPr>
                <w:rFonts w:hint="default" w:ascii="Times New Roman" w:hAnsi="Times New Roman" w:eastAsia="仿宋_GB2312" w:cs="Times New Roman"/>
                <w:b/>
                <w:bCs/>
                <w:color w:val="auto"/>
                <w:kern w:val="0"/>
                <w:sz w:val="28"/>
                <w:szCs w:val="28"/>
                <w:lang w:val="en-US" w:eastAsia="zh-CN" w:bidi="ar"/>
              </w:rPr>
              <w:t>个战略引领：</w:t>
            </w:r>
            <w:r>
              <w:rPr>
                <w:rFonts w:hint="default" w:ascii="Times New Roman" w:hAnsi="Times New Roman" w:eastAsia="仿宋_GB2312" w:cs="Times New Roman"/>
                <w:b w:val="0"/>
                <w:bCs w:val="0"/>
                <w:color w:val="auto"/>
                <w:kern w:val="0"/>
                <w:sz w:val="28"/>
                <w:szCs w:val="28"/>
                <w:rtl w:val="0"/>
                <w:lang w:val="en-US" w:eastAsia="zh-CN" w:bidi="ar"/>
              </w:rPr>
              <w:t>建设环境优美、绿色低碳、宜居宜游生态城市。</w:t>
            </w:r>
          </w:p>
          <w:p w14:paraId="5EB39D86">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0" w:firstLineChars="0"/>
              <w:textAlignment w:val="center"/>
              <w:rPr>
                <w:rFonts w:hint="default" w:ascii="Times New Roman" w:hAnsi="Times New Roman" w:eastAsia="仿宋_GB2312" w:cs="Times New Roman"/>
                <w:b w:val="0"/>
                <w:bCs w:val="0"/>
                <w:color w:val="auto"/>
                <w:kern w:val="0"/>
                <w:sz w:val="28"/>
                <w:szCs w:val="28"/>
                <w:rtl w:val="0"/>
                <w:lang w:val="en-US" w:eastAsia="zh-CN" w:bidi="ar"/>
              </w:rPr>
            </w:pPr>
            <w:r>
              <w:rPr>
                <w:rFonts w:hint="eastAsia" w:cs="Times New Roman"/>
                <w:b/>
                <w:bCs/>
                <w:color w:val="auto"/>
                <w:kern w:val="0"/>
                <w:sz w:val="28"/>
                <w:szCs w:val="28"/>
                <w:lang w:val="en-US" w:eastAsia="zh-CN" w:bidi="ar"/>
              </w:rPr>
              <w:t>“</w:t>
            </w:r>
            <w:r>
              <w:rPr>
                <w:rFonts w:hint="default" w:ascii="Times New Roman" w:hAnsi="Times New Roman" w:eastAsia="仿宋_GB2312" w:cs="Times New Roman"/>
                <w:b/>
                <w:bCs/>
                <w:color w:val="auto"/>
                <w:kern w:val="0"/>
                <w:sz w:val="28"/>
                <w:szCs w:val="28"/>
                <w:lang w:val="en-US" w:eastAsia="zh-CN" w:bidi="ar"/>
              </w:rPr>
              <w:t>5</w:t>
            </w:r>
            <w:r>
              <w:rPr>
                <w:rFonts w:hint="eastAsia" w:cs="Times New Roman"/>
                <w:b/>
                <w:bCs/>
                <w:color w:val="auto"/>
                <w:kern w:val="0"/>
                <w:sz w:val="28"/>
                <w:szCs w:val="28"/>
                <w:lang w:val="en-US" w:eastAsia="zh-CN" w:bidi="ar"/>
              </w:rPr>
              <w:t>”</w:t>
            </w:r>
            <w:r>
              <w:rPr>
                <w:rFonts w:hint="default" w:ascii="Times New Roman" w:hAnsi="Times New Roman" w:eastAsia="仿宋_GB2312" w:cs="Times New Roman"/>
                <w:b/>
                <w:bCs/>
                <w:color w:val="auto"/>
                <w:kern w:val="0"/>
                <w:sz w:val="28"/>
                <w:szCs w:val="28"/>
                <w:lang w:val="en-US" w:eastAsia="zh-CN" w:bidi="ar"/>
              </w:rPr>
              <w:t>大发展定位：</w:t>
            </w:r>
            <w:r>
              <w:rPr>
                <w:rFonts w:hint="default" w:ascii="Times New Roman" w:hAnsi="Times New Roman" w:eastAsia="仿宋_GB2312" w:cs="Times New Roman"/>
                <w:b w:val="0"/>
                <w:bCs w:val="0"/>
                <w:color w:val="auto"/>
                <w:kern w:val="0"/>
                <w:sz w:val="28"/>
                <w:szCs w:val="28"/>
                <w:rtl w:val="0"/>
                <w:lang w:val="en-US" w:eastAsia="zh-CN" w:bidi="ar"/>
              </w:rPr>
              <w:t>国家生态文明建设示范区、区域现代化中心城市引领区、陕南新质生产力发展先行区、全省共同富裕模范区、全市基层治理首善区。</w:t>
            </w:r>
          </w:p>
          <w:p w14:paraId="4DFD59CE">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0" w:firstLineChars="0"/>
              <w:textAlignment w:val="center"/>
              <w:rPr>
                <w:rFonts w:hint="default" w:ascii="Times New Roman" w:hAnsi="Times New Roman" w:eastAsia="仿宋_GB2312" w:cs="Times New Roman"/>
                <w:b w:val="0"/>
                <w:bCs w:val="0"/>
                <w:color w:val="auto"/>
                <w:kern w:val="0"/>
                <w:sz w:val="28"/>
                <w:szCs w:val="28"/>
                <w:rtl w:val="0"/>
                <w:lang w:val="en-US" w:eastAsia="zh-CN" w:bidi="ar"/>
              </w:rPr>
            </w:pPr>
            <w:r>
              <w:rPr>
                <w:rFonts w:hint="eastAsia" w:cs="Times New Roman"/>
                <w:b/>
                <w:bCs/>
                <w:color w:val="auto"/>
                <w:kern w:val="0"/>
                <w:sz w:val="28"/>
                <w:szCs w:val="28"/>
                <w:rtl w:val="0"/>
                <w:lang w:val="en-US" w:eastAsia="zh-CN" w:bidi="ar"/>
              </w:rPr>
              <w:t>“</w:t>
            </w:r>
            <w:r>
              <w:rPr>
                <w:rFonts w:hint="default" w:ascii="Times New Roman" w:hAnsi="Times New Roman" w:eastAsia="仿宋_GB2312" w:cs="Times New Roman"/>
                <w:b/>
                <w:bCs/>
                <w:color w:val="auto"/>
                <w:kern w:val="0"/>
                <w:sz w:val="28"/>
                <w:szCs w:val="28"/>
                <w:rtl w:val="0"/>
                <w:lang w:val="en-US" w:eastAsia="zh-CN" w:bidi="ar"/>
              </w:rPr>
              <w:t>5</w:t>
            </w:r>
            <w:r>
              <w:rPr>
                <w:rFonts w:hint="eastAsia" w:cs="Times New Roman"/>
                <w:b/>
                <w:bCs/>
                <w:color w:val="auto"/>
                <w:kern w:val="0"/>
                <w:sz w:val="28"/>
                <w:szCs w:val="28"/>
                <w:rtl w:val="0"/>
                <w:lang w:val="en-US" w:eastAsia="zh-CN" w:bidi="ar"/>
              </w:rPr>
              <w:t>”</w:t>
            </w:r>
            <w:r>
              <w:rPr>
                <w:rFonts w:hint="default" w:ascii="Times New Roman" w:hAnsi="Times New Roman" w:eastAsia="仿宋_GB2312" w:cs="Times New Roman"/>
                <w:b/>
                <w:bCs/>
                <w:color w:val="auto"/>
                <w:kern w:val="0"/>
                <w:sz w:val="28"/>
                <w:szCs w:val="28"/>
                <w:rtl w:val="0"/>
                <w:lang w:val="en-US" w:eastAsia="zh-CN" w:bidi="ar"/>
              </w:rPr>
              <w:t>项攻坚突破：</w:t>
            </w:r>
            <w:r>
              <w:rPr>
                <w:rFonts w:hint="default" w:ascii="Times New Roman" w:hAnsi="Times New Roman" w:eastAsia="仿宋_GB2312" w:cs="Times New Roman"/>
                <w:b w:val="0"/>
                <w:bCs w:val="0"/>
                <w:color w:val="auto"/>
                <w:kern w:val="0"/>
                <w:sz w:val="28"/>
                <w:szCs w:val="28"/>
                <w:rtl w:val="0"/>
                <w:lang w:val="en-US" w:eastAsia="zh-CN" w:bidi="ar"/>
              </w:rPr>
              <w:t>现代产业体系优化、改革创新驱动、城市能级提升、民生普惠共享、风险防范化解上攻坚突破。</w:t>
            </w:r>
          </w:p>
          <w:p w14:paraId="6DC4C0FB">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0" w:firstLineChars="0"/>
              <w:textAlignment w:val="center"/>
              <w:rPr>
                <w:rFonts w:hint="default" w:ascii="Times New Roman" w:hAnsi="Times New Roman" w:eastAsia="宋体" w:cs="Times New Roman"/>
                <w:b/>
                <w:bCs/>
                <w:color w:val="auto"/>
                <w:kern w:val="0"/>
                <w:sz w:val="24"/>
                <w:szCs w:val="24"/>
                <w:lang w:val="en-US" w:eastAsia="zh-CN" w:bidi="ar"/>
              </w:rPr>
            </w:pPr>
            <w:r>
              <w:rPr>
                <w:rFonts w:hint="eastAsia" w:cs="Times New Roman"/>
                <w:b/>
                <w:bCs/>
                <w:color w:val="auto"/>
                <w:kern w:val="0"/>
                <w:sz w:val="28"/>
                <w:szCs w:val="28"/>
                <w:rtl w:val="0"/>
                <w:lang w:val="en-US" w:eastAsia="zh-CN" w:bidi="ar"/>
              </w:rPr>
              <w:t>“</w:t>
            </w:r>
            <w:r>
              <w:rPr>
                <w:rFonts w:hint="default" w:ascii="Times New Roman" w:hAnsi="Times New Roman" w:eastAsia="仿宋_GB2312" w:cs="Times New Roman"/>
                <w:b/>
                <w:bCs/>
                <w:color w:val="auto"/>
                <w:kern w:val="0"/>
                <w:sz w:val="28"/>
                <w:szCs w:val="28"/>
                <w:rtl w:val="0"/>
                <w:lang w:val="en-US" w:eastAsia="zh-CN" w:bidi="ar"/>
              </w:rPr>
              <w:t>5</w:t>
            </w:r>
            <w:r>
              <w:rPr>
                <w:rFonts w:hint="eastAsia" w:cs="Times New Roman"/>
                <w:b/>
                <w:bCs/>
                <w:color w:val="auto"/>
                <w:kern w:val="0"/>
                <w:sz w:val="28"/>
                <w:szCs w:val="28"/>
                <w:rtl w:val="0"/>
                <w:lang w:val="en-US" w:eastAsia="zh-CN" w:bidi="ar"/>
              </w:rPr>
              <w:t>”</w:t>
            </w:r>
            <w:r>
              <w:rPr>
                <w:rFonts w:hint="default" w:ascii="Times New Roman" w:hAnsi="Times New Roman" w:eastAsia="仿宋_GB2312" w:cs="Times New Roman"/>
                <w:b/>
                <w:bCs/>
                <w:color w:val="auto"/>
                <w:kern w:val="0"/>
                <w:sz w:val="28"/>
                <w:szCs w:val="28"/>
                <w:rtl w:val="0"/>
                <w:lang w:val="en-US" w:eastAsia="zh-CN" w:bidi="ar"/>
              </w:rPr>
              <w:t>新发展目标：</w:t>
            </w:r>
            <w:r>
              <w:rPr>
                <w:rFonts w:hint="default" w:ascii="Times New Roman" w:hAnsi="Times New Roman" w:eastAsia="仿宋_GB2312" w:cs="Times New Roman"/>
                <w:b w:val="0"/>
                <w:bCs w:val="0"/>
                <w:color w:val="auto"/>
                <w:kern w:val="0"/>
                <w:sz w:val="28"/>
                <w:szCs w:val="28"/>
                <w:rtl w:val="0"/>
                <w:lang w:val="en-US" w:eastAsia="zh-CN" w:bidi="ar"/>
              </w:rPr>
              <w:t>综合实力迈上新台阶、发展动能得到新增强、城乡融合展现新面貌、生活品质达到新水平、安全发展形成新格局。</w:t>
            </w:r>
          </w:p>
        </w:tc>
      </w:tr>
    </w:tbl>
    <w:p w14:paraId="1DAA9DBE">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textAlignment w:val="center"/>
        <w:rPr>
          <w:rFonts w:hint="default" w:ascii="Times New Roman" w:hAnsi="Times New Roman" w:eastAsia="黑体" w:cs="Times New Roman"/>
          <w:b w:val="0"/>
          <w:bCs/>
          <w:color w:val="auto"/>
          <w:rtl w:val="0"/>
          <w:lang w:val="en-US" w:eastAsia="zh-CN"/>
        </w:rPr>
      </w:pPr>
      <w:bookmarkStart w:id="30" w:name="_Toc5326"/>
      <w:bookmarkStart w:id="31" w:name="_Toc26420"/>
      <w:r>
        <w:rPr>
          <w:rFonts w:hint="default" w:ascii="Times New Roman" w:hAnsi="Times New Roman" w:eastAsia="黑体" w:cs="Times New Roman"/>
          <w:b w:val="0"/>
          <w:bCs/>
          <w:color w:val="auto"/>
          <w:rtl w:val="0"/>
          <w:lang w:val="en-US" w:eastAsia="zh-CN"/>
        </w:rPr>
        <w:t>二、基本原则</w:t>
      </w:r>
      <w:bookmarkEnd w:id="30"/>
      <w:bookmarkEnd w:id="31"/>
    </w:p>
    <w:p w14:paraId="78EDBF44">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eastAsia"/>
          <w:lang w:val="en-US" w:eastAsia="zh-CN"/>
        </w:rPr>
        <w:t>——</w:t>
      </w:r>
      <w:r>
        <w:rPr>
          <w:rFonts w:hint="default" w:ascii="Times New Roman" w:hAnsi="Times New Roman" w:eastAsia="楷体_GB2312" w:cs="Times New Roman"/>
          <w:b w:val="0"/>
          <w:bCs w:val="0"/>
          <w:color w:val="auto"/>
          <w:sz w:val="32"/>
          <w:szCs w:val="32"/>
          <w:lang w:val="en-US" w:eastAsia="zh-CN"/>
        </w:rPr>
        <w:t>坚持党的全面领导。</w:t>
      </w:r>
      <w:r>
        <w:rPr>
          <w:rFonts w:hint="default" w:ascii="Times New Roman" w:hAnsi="Times New Roman" w:cs="Times New Roman"/>
          <w:color w:val="auto"/>
          <w:sz w:val="32"/>
          <w:szCs w:val="32"/>
          <w:lang w:val="en-US" w:eastAsia="zh-CN"/>
        </w:rPr>
        <w:t>坚决维护党中央权威和集中统一领导，把党的领导贯穿经济社会发展各方面全过程，</w:t>
      </w:r>
      <w:r>
        <w:rPr>
          <w:rFonts w:hint="default" w:ascii="Times New Roman" w:hAnsi="Times New Roman" w:cs="Times New Roman"/>
          <w:color w:val="auto"/>
        </w:rPr>
        <w:t>完善党领导经济社会发展的体制机制，</w:t>
      </w:r>
      <w:r>
        <w:rPr>
          <w:rFonts w:hint="default" w:ascii="Times New Roman" w:hAnsi="Times New Roman" w:eastAsia="仿宋_GB2312" w:cs="Times New Roman"/>
          <w:b w:val="0"/>
          <w:bCs w:val="0"/>
          <w:color w:val="auto"/>
          <w:spacing w:val="2"/>
          <w:sz w:val="32"/>
          <w:szCs w:val="32"/>
          <w:highlight w:val="none"/>
          <w:lang w:val="en-US" w:eastAsia="zh-CN"/>
        </w:rPr>
        <w:t>不折不扣、因地制宜抓好落实，为</w:t>
      </w:r>
      <w:r>
        <w:rPr>
          <w:rFonts w:hint="default" w:ascii="Times New Roman" w:hAnsi="Times New Roman" w:cs="Times New Roman"/>
          <w:b w:val="0"/>
          <w:bCs w:val="0"/>
          <w:color w:val="auto"/>
          <w:spacing w:val="2"/>
          <w:sz w:val="32"/>
          <w:szCs w:val="32"/>
          <w:highlight w:val="none"/>
          <w:lang w:val="en-US" w:eastAsia="zh-CN"/>
        </w:rPr>
        <w:t>汉台</w:t>
      </w:r>
      <w:r>
        <w:rPr>
          <w:rFonts w:hint="default" w:ascii="Times New Roman" w:hAnsi="Times New Roman" w:eastAsia="仿宋_GB2312" w:cs="Times New Roman"/>
          <w:b w:val="0"/>
          <w:bCs w:val="0"/>
          <w:color w:val="auto"/>
          <w:spacing w:val="2"/>
          <w:sz w:val="32"/>
          <w:szCs w:val="32"/>
          <w:highlight w:val="none"/>
          <w:lang w:val="en-US" w:eastAsia="zh-CN"/>
        </w:rPr>
        <w:t>高质量发展</w:t>
      </w:r>
      <w:r>
        <w:rPr>
          <w:rFonts w:hint="default" w:ascii="Times New Roman" w:hAnsi="Times New Roman" w:cs="Times New Roman"/>
          <w:b w:val="0"/>
          <w:bCs w:val="0"/>
          <w:color w:val="auto"/>
          <w:spacing w:val="2"/>
          <w:sz w:val="32"/>
          <w:szCs w:val="32"/>
          <w:highlight w:val="none"/>
          <w:lang w:val="en-US" w:eastAsia="zh-CN"/>
        </w:rPr>
        <w:t>和</w:t>
      </w:r>
      <w:r>
        <w:rPr>
          <w:rFonts w:hint="default" w:ascii="Times New Roman" w:hAnsi="Times New Roman" w:eastAsia="仿宋_GB2312" w:cs="Times New Roman"/>
          <w:b w:val="0"/>
          <w:bCs w:val="0"/>
          <w:color w:val="auto"/>
          <w:spacing w:val="2"/>
          <w:sz w:val="32"/>
          <w:szCs w:val="32"/>
          <w:highlight w:val="none"/>
          <w:lang w:val="en-US" w:eastAsia="zh-CN"/>
        </w:rPr>
        <w:t>现代化建设提供根本保证。</w:t>
      </w:r>
    </w:p>
    <w:p w14:paraId="6B7DD7F5">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eastAsia" w:ascii="Times New Roman" w:hAnsi="Times New Roman" w:cs="Times New Roman"/>
          <w:lang w:val="en-US" w:eastAsia="zh-CN"/>
        </w:rPr>
        <w:t>——</w:t>
      </w:r>
      <w:r>
        <w:rPr>
          <w:rFonts w:hint="default" w:ascii="Times New Roman" w:hAnsi="Times New Roman" w:eastAsia="楷体_GB2312" w:cs="Times New Roman"/>
          <w:b w:val="0"/>
          <w:bCs w:val="0"/>
          <w:color w:val="auto"/>
          <w:sz w:val="32"/>
          <w:szCs w:val="32"/>
          <w:lang w:val="en-US" w:eastAsia="zh-CN"/>
        </w:rPr>
        <w:t>坚持人民至上。</w:t>
      </w:r>
      <w:r>
        <w:rPr>
          <w:rFonts w:hint="default" w:ascii="Times New Roman" w:hAnsi="Times New Roman" w:eastAsia="仿宋_GB2312" w:cs="Times New Roman"/>
          <w:b w:val="0"/>
          <w:bCs w:val="0"/>
          <w:color w:val="auto"/>
          <w:spacing w:val="2"/>
          <w:sz w:val="32"/>
          <w:szCs w:val="32"/>
          <w:highlight w:val="none"/>
          <w:lang w:val="en-US" w:eastAsia="zh-CN"/>
        </w:rPr>
        <w:t>尊重人民主体地位，紧紧依靠人民，维护人民根本利益，促进社会公平正义，注重在发展中保障和改善民生，在满足民生需求中拓展发展空间，推动经济和社会协调发展、物质文明和精神文明相得益彰，让现代化建设成果更多更公平惠及全体人民。</w:t>
      </w:r>
    </w:p>
    <w:p w14:paraId="4056BB49">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eastAsia" w:ascii="Times New Roman" w:hAnsi="Times New Roman" w:cs="Times New Roman"/>
          <w:lang w:val="en-US" w:eastAsia="zh-CN"/>
        </w:rPr>
        <w:t>——</w:t>
      </w:r>
      <w:r>
        <w:rPr>
          <w:rFonts w:hint="default" w:ascii="Times New Roman" w:hAnsi="Times New Roman" w:eastAsia="楷体_GB2312" w:cs="Times New Roman"/>
          <w:b w:val="0"/>
          <w:bCs w:val="0"/>
          <w:color w:val="auto"/>
          <w:sz w:val="32"/>
          <w:szCs w:val="32"/>
          <w:lang w:val="en-US" w:eastAsia="zh-CN"/>
        </w:rPr>
        <w:t>坚持高质量发展。</w:t>
      </w:r>
      <w:r>
        <w:rPr>
          <w:rFonts w:hint="default" w:ascii="Times New Roman" w:hAnsi="Times New Roman" w:eastAsia="仿宋_GB2312" w:cs="Times New Roman"/>
          <w:b w:val="0"/>
          <w:bCs w:val="0"/>
          <w:color w:val="auto"/>
          <w:spacing w:val="2"/>
          <w:sz w:val="32"/>
          <w:szCs w:val="32"/>
          <w:highlight w:val="none"/>
          <w:lang w:val="en-US" w:eastAsia="zh-CN"/>
        </w:rPr>
        <w:t>以新发展理念引领发展，始终以创新、协调、绿色、开放、共享的内在统一把握发展、衡量发展、推动发展，统筹扩大内需和深化供给侧结构性改革，因地制宜发展新质生产力，持续推动质量变革、效率变革、动力变革，把质的有效提升和量的合理增长统一于高质量发展全过程。</w:t>
      </w:r>
    </w:p>
    <w:p w14:paraId="61169FA3">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eastAsia" w:ascii="Times New Roman" w:hAnsi="Times New Roman" w:cs="Times New Roman"/>
          <w:lang w:val="en-US" w:eastAsia="zh-CN"/>
        </w:rPr>
        <w:t>——</w:t>
      </w:r>
      <w:r>
        <w:rPr>
          <w:rFonts w:hint="default" w:ascii="Times New Roman" w:hAnsi="Times New Roman" w:eastAsia="楷体_GB2312" w:cs="Times New Roman"/>
          <w:b w:val="0"/>
          <w:bCs w:val="0"/>
          <w:color w:val="auto"/>
          <w:sz w:val="32"/>
          <w:szCs w:val="32"/>
          <w:lang w:val="en-US" w:eastAsia="zh-CN"/>
        </w:rPr>
        <w:t>坚持全面深化改革。</w:t>
      </w:r>
      <w:r>
        <w:rPr>
          <w:rFonts w:hint="default" w:ascii="Times New Roman" w:hAnsi="Times New Roman" w:eastAsia="仿宋_GB2312" w:cs="Times New Roman"/>
          <w:b w:val="0"/>
          <w:bCs w:val="0"/>
          <w:color w:val="auto"/>
          <w:spacing w:val="2"/>
          <w:sz w:val="32"/>
          <w:szCs w:val="32"/>
          <w:highlight w:val="none"/>
          <w:lang w:val="en-US" w:eastAsia="zh-CN"/>
        </w:rPr>
        <w:t>紧紧围绕高质量发展现代化建设推进深层次改革、扩大高水平开放，突出经济体制改革牵引作用，更加注重系统集成，突破体制机制障碍，推动</w:t>
      </w:r>
      <w:r>
        <w:rPr>
          <w:rFonts w:hint="default" w:ascii="Times New Roman" w:hAnsi="Times New Roman" w:cs="Times New Roman"/>
          <w:b w:val="0"/>
          <w:bCs w:val="0"/>
          <w:color w:val="auto"/>
          <w:spacing w:val="2"/>
          <w:sz w:val="32"/>
          <w:szCs w:val="32"/>
          <w:highlight w:val="none"/>
          <w:lang w:val="en-US" w:eastAsia="zh-CN"/>
        </w:rPr>
        <w:t>社会</w:t>
      </w:r>
      <w:r>
        <w:rPr>
          <w:rFonts w:hint="default" w:ascii="Times New Roman" w:hAnsi="Times New Roman" w:eastAsia="仿宋_GB2312" w:cs="Times New Roman"/>
          <w:b w:val="0"/>
          <w:bCs w:val="0"/>
          <w:color w:val="auto"/>
          <w:spacing w:val="2"/>
          <w:sz w:val="32"/>
          <w:szCs w:val="32"/>
          <w:highlight w:val="none"/>
          <w:lang w:val="en-US" w:eastAsia="zh-CN"/>
        </w:rPr>
        <w:t>治理体系和治理能力现代化建设，</w:t>
      </w:r>
      <w:r>
        <w:rPr>
          <w:rFonts w:hint="default" w:ascii="Times New Roman" w:hAnsi="Times New Roman" w:cs="Times New Roman"/>
          <w:color w:val="auto"/>
        </w:rPr>
        <w:t>优化营商环境，强化资源配置，调动全社会积极性</w:t>
      </w:r>
      <w:r>
        <w:rPr>
          <w:rFonts w:hint="default" w:ascii="Times New Roman" w:hAnsi="Times New Roman" w:eastAsia="仿宋_GB2312" w:cs="Times New Roman"/>
          <w:b w:val="0"/>
          <w:bCs w:val="0"/>
          <w:color w:val="auto"/>
          <w:spacing w:val="2"/>
          <w:sz w:val="32"/>
          <w:szCs w:val="32"/>
          <w:highlight w:val="none"/>
          <w:lang w:val="en-US" w:eastAsia="zh-CN"/>
        </w:rPr>
        <w:t>，增强发展动力和社会活力。</w:t>
      </w:r>
    </w:p>
    <w:p w14:paraId="464EB500">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eastAsia" w:ascii="Times New Roman" w:hAnsi="Times New Roman" w:cs="Times New Roman"/>
          <w:lang w:val="en-US" w:eastAsia="zh-CN"/>
        </w:rPr>
        <w:t>——</w:t>
      </w:r>
      <w:r>
        <w:rPr>
          <w:rFonts w:hint="default" w:ascii="Times New Roman" w:hAnsi="Times New Roman" w:eastAsia="楷体_GB2312" w:cs="Times New Roman"/>
          <w:b w:val="0"/>
          <w:bCs w:val="0"/>
          <w:color w:val="auto"/>
          <w:sz w:val="32"/>
          <w:szCs w:val="32"/>
          <w:lang w:val="en-US" w:eastAsia="zh-CN"/>
        </w:rPr>
        <w:t>坚持有效市场和有为政府相结合。</w:t>
      </w:r>
      <w:r>
        <w:rPr>
          <w:rFonts w:hint="default" w:ascii="Times New Roman" w:hAnsi="Times New Roman" w:eastAsia="仿宋_GB2312" w:cs="Times New Roman"/>
          <w:b w:val="0"/>
          <w:bCs w:val="0"/>
          <w:color w:val="auto"/>
          <w:spacing w:val="2"/>
          <w:sz w:val="32"/>
          <w:szCs w:val="32"/>
          <w:highlight w:val="none"/>
          <w:lang w:val="en-US" w:eastAsia="zh-CN"/>
        </w:rPr>
        <w:t>充分发挥市场在资源配置中的决定性作用，更好发挥政府作用，积极融入</w:t>
      </w:r>
      <w:r>
        <w:rPr>
          <w:rFonts w:hint="default" w:ascii="Times New Roman" w:hAnsi="Times New Roman" w:cs="Times New Roman"/>
          <w:b w:val="0"/>
          <w:bCs w:val="0"/>
          <w:color w:val="auto"/>
          <w:spacing w:val="2"/>
          <w:sz w:val="32"/>
          <w:szCs w:val="32"/>
          <w:highlight w:val="none"/>
          <w:lang w:val="en-US" w:eastAsia="zh-CN"/>
        </w:rPr>
        <w:t>服务</w:t>
      </w:r>
      <w:r>
        <w:rPr>
          <w:rFonts w:hint="default" w:ascii="Times New Roman" w:hAnsi="Times New Roman" w:eastAsia="仿宋_GB2312" w:cs="Times New Roman"/>
          <w:b w:val="0"/>
          <w:bCs w:val="0"/>
          <w:color w:val="auto"/>
          <w:spacing w:val="2"/>
          <w:sz w:val="32"/>
          <w:szCs w:val="32"/>
          <w:highlight w:val="none"/>
          <w:lang w:val="en-US" w:eastAsia="zh-CN"/>
        </w:rPr>
        <w:t>全国统一大市场建设，</w:t>
      </w:r>
      <w:r>
        <w:rPr>
          <w:rFonts w:hint="default" w:ascii="Times New Roman" w:hAnsi="Times New Roman" w:cs="Times New Roman"/>
          <w:b w:val="0"/>
          <w:bCs w:val="0"/>
          <w:color w:val="auto"/>
          <w:spacing w:val="2"/>
          <w:sz w:val="32"/>
          <w:szCs w:val="32"/>
          <w:highlight w:val="none"/>
          <w:lang w:val="en-US" w:eastAsia="zh-CN"/>
        </w:rPr>
        <w:t>以深层次改革破解结构性矛盾，</w:t>
      </w:r>
      <w:r>
        <w:rPr>
          <w:rFonts w:hint="default" w:ascii="Times New Roman" w:hAnsi="Times New Roman" w:eastAsia="仿宋_GB2312" w:cs="Times New Roman"/>
          <w:b w:val="0"/>
          <w:bCs w:val="0"/>
          <w:color w:val="auto"/>
          <w:spacing w:val="2"/>
          <w:sz w:val="32"/>
          <w:szCs w:val="32"/>
          <w:highlight w:val="none"/>
          <w:lang w:val="en-US" w:eastAsia="zh-CN"/>
        </w:rPr>
        <w:t>建设法治经济、信用经济，</w:t>
      </w:r>
      <w:r>
        <w:rPr>
          <w:rFonts w:hint="default" w:ascii="Times New Roman" w:hAnsi="Times New Roman" w:cs="Times New Roman"/>
          <w:b w:val="0"/>
          <w:bCs w:val="0"/>
          <w:color w:val="auto"/>
          <w:spacing w:val="2"/>
          <w:sz w:val="32"/>
          <w:szCs w:val="32"/>
          <w:highlight w:val="none"/>
          <w:lang w:val="en-US" w:eastAsia="zh-CN"/>
        </w:rPr>
        <w:t>构建适应高质量发展要求的激励机制，</w:t>
      </w:r>
      <w:r>
        <w:rPr>
          <w:rFonts w:hint="default" w:ascii="Times New Roman" w:hAnsi="Times New Roman" w:eastAsia="仿宋_GB2312" w:cs="Times New Roman"/>
          <w:b w:val="0"/>
          <w:bCs w:val="0"/>
          <w:color w:val="auto"/>
          <w:spacing w:val="2"/>
          <w:sz w:val="32"/>
          <w:szCs w:val="32"/>
          <w:highlight w:val="none"/>
          <w:lang w:val="en-US" w:eastAsia="zh-CN"/>
        </w:rPr>
        <w:t>形成既</w:t>
      </w:r>
      <w:r>
        <w:rPr>
          <w:rFonts w:hint="eastAsia" w:cs="Times New Roman"/>
          <w:b w:val="0"/>
          <w:bCs w:val="0"/>
          <w:color w:val="auto"/>
          <w:spacing w:val="2"/>
          <w:sz w:val="32"/>
          <w:szCs w:val="32"/>
          <w:highlight w:val="none"/>
          <w:lang w:val="en-US" w:eastAsia="zh-CN"/>
        </w:rPr>
        <w:t>“</w:t>
      </w:r>
      <w:r>
        <w:rPr>
          <w:rFonts w:hint="default" w:ascii="Times New Roman" w:hAnsi="Times New Roman" w:eastAsia="仿宋_GB2312" w:cs="Times New Roman"/>
          <w:b w:val="0"/>
          <w:bCs w:val="0"/>
          <w:color w:val="auto"/>
          <w:spacing w:val="2"/>
          <w:sz w:val="32"/>
          <w:szCs w:val="32"/>
          <w:highlight w:val="none"/>
          <w:lang w:val="en-US" w:eastAsia="zh-CN"/>
        </w:rPr>
        <w:t>放得活</w:t>
      </w:r>
      <w:r>
        <w:rPr>
          <w:rFonts w:hint="eastAsia" w:cs="Times New Roman"/>
          <w:b w:val="0"/>
          <w:bCs w:val="0"/>
          <w:color w:val="auto"/>
          <w:spacing w:val="2"/>
          <w:sz w:val="32"/>
          <w:szCs w:val="32"/>
          <w:highlight w:val="none"/>
          <w:lang w:val="en-US" w:eastAsia="zh-CN"/>
        </w:rPr>
        <w:t>”</w:t>
      </w:r>
      <w:r>
        <w:rPr>
          <w:rFonts w:hint="default" w:ascii="Times New Roman" w:hAnsi="Times New Roman" w:eastAsia="仿宋_GB2312" w:cs="Times New Roman"/>
          <w:b w:val="0"/>
          <w:bCs w:val="0"/>
          <w:color w:val="auto"/>
          <w:spacing w:val="2"/>
          <w:sz w:val="32"/>
          <w:szCs w:val="32"/>
          <w:highlight w:val="none"/>
          <w:lang w:val="en-US" w:eastAsia="zh-CN"/>
        </w:rPr>
        <w:t>又</w:t>
      </w:r>
      <w:r>
        <w:rPr>
          <w:rFonts w:hint="eastAsia" w:cs="Times New Roman"/>
          <w:b w:val="0"/>
          <w:bCs w:val="0"/>
          <w:color w:val="auto"/>
          <w:spacing w:val="2"/>
          <w:sz w:val="32"/>
          <w:szCs w:val="32"/>
          <w:highlight w:val="none"/>
          <w:lang w:val="en-US" w:eastAsia="zh-CN"/>
        </w:rPr>
        <w:t>“</w:t>
      </w:r>
      <w:r>
        <w:rPr>
          <w:rFonts w:hint="default" w:ascii="Times New Roman" w:hAnsi="Times New Roman" w:eastAsia="仿宋_GB2312" w:cs="Times New Roman"/>
          <w:b w:val="0"/>
          <w:bCs w:val="0"/>
          <w:color w:val="auto"/>
          <w:spacing w:val="2"/>
          <w:sz w:val="32"/>
          <w:szCs w:val="32"/>
          <w:highlight w:val="none"/>
          <w:lang w:val="en-US" w:eastAsia="zh-CN"/>
        </w:rPr>
        <w:t>管得好</w:t>
      </w:r>
      <w:r>
        <w:rPr>
          <w:rFonts w:hint="eastAsia" w:cs="Times New Roman"/>
          <w:b w:val="0"/>
          <w:bCs w:val="0"/>
          <w:color w:val="auto"/>
          <w:spacing w:val="2"/>
          <w:sz w:val="32"/>
          <w:szCs w:val="32"/>
          <w:highlight w:val="none"/>
          <w:lang w:val="en-US" w:eastAsia="zh-CN"/>
        </w:rPr>
        <w:t>”</w:t>
      </w:r>
      <w:r>
        <w:rPr>
          <w:rFonts w:hint="default" w:ascii="Times New Roman" w:hAnsi="Times New Roman" w:eastAsia="仿宋_GB2312" w:cs="Times New Roman"/>
          <w:b w:val="0"/>
          <w:bCs w:val="0"/>
          <w:color w:val="auto"/>
          <w:spacing w:val="2"/>
          <w:sz w:val="32"/>
          <w:szCs w:val="32"/>
          <w:highlight w:val="none"/>
          <w:lang w:val="en-US" w:eastAsia="zh-CN"/>
        </w:rPr>
        <w:t>的经济秩序。</w:t>
      </w:r>
    </w:p>
    <w:p w14:paraId="22A56311">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eastAsia" w:ascii="Times New Roman" w:hAnsi="Times New Roman" w:cs="Times New Roman"/>
          <w:lang w:val="en-US" w:eastAsia="zh-CN"/>
        </w:rPr>
        <w:t>——</w:t>
      </w:r>
      <w:r>
        <w:rPr>
          <w:rFonts w:hint="default" w:ascii="Times New Roman" w:hAnsi="Times New Roman" w:eastAsia="楷体_GB2312" w:cs="Times New Roman"/>
          <w:b w:val="0"/>
          <w:bCs w:val="0"/>
          <w:color w:val="auto"/>
          <w:sz w:val="32"/>
          <w:szCs w:val="32"/>
          <w:lang w:val="en-US" w:eastAsia="zh-CN"/>
        </w:rPr>
        <w:t>坚持扬优势和补短板双向发力。</w:t>
      </w:r>
      <w:r>
        <w:rPr>
          <w:rFonts w:hint="default" w:ascii="Times New Roman" w:hAnsi="Times New Roman" w:eastAsia="仿宋_GB2312" w:cs="Times New Roman"/>
          <w:b w:val="0"/>
          <w:bCs w:val="0"/>
          <w:color w:val="auto"/>
          <w:spacing w:val="2"/>
          <w:sz w:val="32"/>
          <w:szCs w:val="32"/>
          <w:highlight w:val="none"/>
          <w:lang w:val="en-US" w:eastAsia="zh-CN"/>
        </w:rPr>
        <w:t>注重以全面改革、全域开放、全链创新来集成优势、放大优势、培塑优势，发挥优势补短板、聚焦短板扬优势，奋力追赶、敢于超越，在标志性引领性领域实现纵向提占比、横向有进位、整体上台阶。</w:t>
      </w:r>
    </w:p>
    <w:p w14:paraId="312A3A7F">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eastAsia" w:ascii="Times New Roman" w:hAnsi="Times New Roman" w:cs="Times New Roman"/>
          <w:lang w:val="en-US" w:eastAsia="zh-CN"/>
        </w:rPr>
        <w:t>——</w:t>
      </w:r>
      <w:r>
        <w:rPr>
          <w:rFonts w:hint="default" w:ascii="Times New Roman" w:hAnsi="Times New Roman" w:eastAsia="楷体_GB2312" w:cs="Times New Roman"/>
          <w:b w:val="0"/>
          <w:bCs w:val="0"/>
          <w:color w:val="auto"/>
          <w:sz w:val="32"/>
          <w:szCs w:val="32"/>
          <w:lang w:val="en-US" w:eastAsia="zh-CN"/>
        </w:rPr>
        <w:t>坚持统筹发展和安全。</w:t>
      </w:r>
      <w:r>
        <w:rPr>
          <w:rFonts w:hint="default" w:ascii="Times New Roman" w:hAnsi="Times New Roman" w:eastAsia="仿宋_GB2312" w:cs="Times New Roman"/>
          <w:b w:val="0"/>
          <w:bCs w:val="0"/>
          <w:color w:val="auto"/>
          <w:spacing w:val="2"/>
          <w:sz w:val="32"/>
          <w:szCs w:val="32"/>
          <w:highlight w:val="none"/>
          <w:lang w:val="en-US" w:eastAsia="zh-CN"/>
        </w:rPr>
        <w:t>坚定不移贯彻总体国家安全观，在发展中固安全，在安全中谋发展，强化底线思维，有效防范化解各种重大风险挑战，增强经济和社会韧性，以新安全格局保障新发展格局，切实筑牢安全发展根基。</w:t>
      </w:r>
    </w:p>
    <w:p w14:paraId="1B08259D">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textAlignment w:val="center"/>
        <w:rPr>
          <w:rFonts w:hint="default" w:ascii="Times New Roman" w:hAnsi="Times New Roman" w:eastAsia="黑体" w:cs="Times New Roman"/>
          <w:b w:val="0"/>
          <w:bCs/>
          <w:color w:val="auto"/>
          <w:rtl w:val="0"/>
          <w:lang w:val="en-US" w:eastAsia="zh-CN"/>
        </w:rPr>
      </w:pPr>
      <w:bookmarkStart w:id="32" w:name="_Toc16720"/>
      <w:bookmarkStart w:id="33" w:name="_Toc5383"/>
      <w:bookmarkStart w:id="34" w:name="_Toc6431"/>
      <w:r>
        <w:rPr>
          <w:rFonts w:hint="default" w:ascii="Times New Roman" w:hAnsi="Times New Roman" w:eastAsia="黑体" w:cs="Times New Roman"/>
          <w:b w:val="0"/>
          <w:bCs/>
          <w:color w:val="auto"/>
          <w:rtl w:val="0"/>
          <w:lang w:val="en-US" w:eastAsia="zh-CN"/>
        </w:rPr>
        <w:t>三、发展定位</w:t>
      </w:r>
      <w:bookmarkEnd w:id="32"/>
      <w:bookmarkEnd w:id="33"/>
      <w:bookmarkEnd w:id="34"/>
    </w:p>
    <w:p w14:paraId="436AF3B3">
      <w:pPr>
        <w:keepNext w:val="0"/>
        <w:keepLines w:val="0"/>
        <w:pageBreakBefore w:val="0"/>
        <w:widowControl w:val="0"/>
        <w:suppressLineNumbers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kern w:val="0"/>
          <w:sz w:val="32"/>
          <w:szCs w:val="32"/>
          <w:lang w:eastAsia="zh-CN" w:bidi="ar"/>
        </w:rPr>
      </w:pPr>
      <w:r>
        <w:rPr>
          <w:rFonts w:hint="default" w:ascii="Times New Roman" w:hAnsi="Times New Roman" w:cs="Times New Roman"/>
          <w:color w:val="auto"/>
          <w:kern w:val="0"/>
          <w:sz w:val="32"/>
          <w:szCs w:val="32"/>
          <w:lang w:val="en-US" w:eastAsia="zh-CN" w:bidi="ar"/>
        </w:rPr>
        <w:t>在努力</w:t>
      </w:r>
      <w:r>
        <w:rPr>
          <w:rFonts w:hint="default" w:ascii="Times New Roman" w:hAnsi="Times New Roman" w:eastAsia="仿宋_GB2312" w:cs="Times New Roman"/>
          <w:color w:val="auto"/>
          <w:kern w:val="0"/>
          <w:sz w:val="32"/>
          <w:szCs w:val="32"/>
          <w:lang w:eastAsia="zh-CN" w:bidi="ar"/>
        </w:rPr>
        <w:t>建设环境优美、绿色低碳、宜居宜游的生态城市</w:t>
      </w:r>
      <w:r>
        <w:rPr>
          <w:rFonts w:hint="default" w:ascii="Times New Roman" w:hAnsi="Times New Roman" w:cs="Times New Roman"/>
          <w:color w:val="auto"/>
          <w:kern w:val="0"/>
          <w:sz w:val="32"/>
          <w:szCs w:val="32"/>
          <w:lang w:val="en-US" w:eastAsia="zh-CN" w:bidi="ar"/>
        </w:rPr>
        <w:t>战略引领下，基于汉台在国家和省市战略布局中的发展定位，</w:t>
      </w:r>
      <w:r>
        <w:rPr>
          <w:rFonts w:hint="default" w:ascii="Times New Roman" w:hAnsi="Times New Roman" w:eastAsia="仿宋_GB2312" w:cs="Times New Roman"/>
          <w:color w:val="auto"/>
          <w:kern w:val="0"/>
          <w:sz w:val="32"/>
          <w:szCs w:val="32"/>
          <w:lang w:eastAsia="zh-CN" w:bidi="ar"/>
        </w:rPr>
        <w:t>全力打造</w:t>
      </w:r>
      <w:r>
        <w:rPr>
          <w:rFonts w:hint="eastAsia" w:eastAsia="楷体_GB2312" w:cs="Times New Roman"/>
          <w:b w:val="0"/>
          <w:bCs w:val="0"/>
          <w:color w:val="auto"/>
          <w:kern w:val="0"/>
          <w:sz w:val="32"/>
          <w:szCs w:val="32"/>
          <w:lang w:eastAsia="zh-CN" w:bidi="ar"/>
        </w:rPr>
        <w:t>“</w:t>
      </w:r>
      <w:r>
        <w:rPr>
          <w:rFonts w:hint="default" w:ascii="Times New Roman" w:hAnsi="Times New Roman" w:eastAsia="楷体_GB2312" w:cs="Times New Roman"/>
          <w:b w:val="0"/>
          <w:bCs w:val="0"/>
          <w:color w:val="auto"/>
          <w:kern w:val="0"/>
          <w:sz w:val="32"/>
          <w:szCs w:val="32"/>
          <w:lang w:eastAsia="zh-CN" w:bidi="ar"/>
        </w:rPr>
        <w:t>五区</w:t>
      </w:r>
      <w:r>
        <w:rPr>
          <w:rFonts w:hint="eastAsia" w:eastAsia="楷体_GB2312" w:cs="Times New Roman"/>
          <w:b w:val="0"/>
          <w:bCs w:val="0"/>
          <w:color w:val="auto"/>
          <w:kern w:val="0"/>
          <w:sz w:val="32"/>
          <w:szCs w:val="32"/>
          <w:lang w:eastAsia="zh-CN" w:bidi="ar"/>
        </w:rPr>
        <w:t>”</w:t>
      </w:r>
      <w:r>
        <w:rPr>
          <w:rFonts w:hint="default" w:ascii="Times New Roman" w:hAnsi="Times New Roman" w:eastAsia="楷体_GB2312" w:cs="Times New Roman"/>
          <w:b w:val="0"/>
          <w:bCs w:val="0"/>
          <w:color w:val="auto"/>
          <w:kern w:val="0"/>
          <w:sz w:val="32"/>
          <w:szCs w:val="32"/>
          <w:lang w:eastAsia="zh-CN" w:bidi="ar"/>
        </w:rPr>
        <w:t>，</w:t>
      </w:r>
      <w:r>
        <w:rPr>
          <w:rFonts w:hint="default" w:ascii="Times New Roman" w:hAnsi="Times New Roman" w:eastAsia="仿宋_GB2312" w:cs="Times New Roman"/>
          <w:color w:val="auto"/>
          <w:kern w:val="0"/>
          <w:sz w:val="32"/>
          <w:szCs w:val="32"/>
          <w:lang w:eastAsia="zh-CN" w:bidi="ar"/>
        </w:rPr>
        <w:t>在区域高质量发展中始终走在前列、争当示范。</w:t>
      </w:r>
    </w:p>
    <w:p w14:paraId="2149E119">
      <w:pPr>
        <w:keepNext w:val="0"/>
        <w:keepLines w:val="0"/>
        <w:pageBreakBefore w:val="0"/>
        <w:widowControl w:val="0"/>
        <w:suppressLineNumbers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eastAsia" w:ascii="Times New Roman" w:hAnsi="Times New Roman" w:eastAsia="楷体_GB2312" w:cs="Times New Roman"/>
          <w:b w:val="0"/>
          <w:bCs w:val="0"/>
          <w:color w:val="auto"/>
          <w:sz w:val="32"/>
          <w:szCs w:val="32"/>
          <w:lang w:val="en-US" w:eastAsia="zh-CN"/>
        </w:rPr>
        <w:t>——</w:t>
      </w:r>
      <w:r>
        <w:rPr>
          <w:rFonts w:hint="default" w:ascii="Times New Roman" w:hAnsi="Times New Roman" w:eastAsia="楷体_GB2312" w:cs="Times New Roman"/>
          <w:b w:val="0"/>
          <w:bCs w:val="0"/>
          <w:color w:val="auto"/>
          <w:sz w:val="32"/>
          <w:szCs w:val="32"/>
          <w:lang w:val="en-US" w:eastAsia="zh-CN"/>
        </w:rPr>
        <w:t>国家生态文明建设示范区。</w:t>
      </w:r>
      <w:r>
        <w:rPr>
          <w:rFonts w:hint="default" w:ascii="Times New Roman" w:hAnsi="Times New Roman" w:eastAsia="仿宋_GB2312" w:cs="Times New Roman"/>
          <w:b w:val="0"/>
          <w:bCs w:val="0"/>
          <w:color w:val="auto"/>
          <w:spacing w:val="2"/>
          <w:sz w:val="32"/>
          <w:szCs w:val="32"/>
          <w:highlight w:val="none"/>
          <w:lang w:val="en-US" w:eastAsia="zh-CN"/>
        </w:rPr>
        <w:t>巩固提升陕西省生态文明建设示范区成果，将绿水青山就是金山银山理念贯穿发展全过程，以碳达峰碳中和为牵引，协同推进降碳、减污、扩绿、增长，不断拓展生态产品价值实现机制，探索</w:t>
      </w:r>
      <w:r>
        <w:rPr>
          <w:rFonts w:hint="eastAsia" w:cs="Times New Roman"/>
          <w:b w:val="0"/>
          <w:bCs w:val="0"/>
          <w:color w:val="auto"/>
          <w:spacing w:val="2"/>
          <w:sz w:val="32"/>
          <w:szCs w:val="32"/>
          <w:highlight w:val="none"/>
          <w:lang w:val="en-US" w:eastAsia="zh-CN"/>
        </w:rPr>
        <w:t>“</w:t>
      </w:r>
      <w:r>
        <w:rPr>
          <w:rFonts w:hint="default" w:ascii="Times New Roman" w:hAnsi="Times New Roman" w:eastAsia="仿宋_GB2312" w:cs="Times New Roman"/>
          <w:b w:val="0"/>
          <w:bCs w:val="0"/>
          <w:color w:val="auto"/>
          <w:spacing w:val="2"/>
          <w:sz w:val="32"/>
          <w:szCs w:val="32"/>
          <w:highlight w:val="none"/>
          <w:lang w:val="en-US" w:eastAsia="zh-CN"/>
        </w:rPr>
        <w:t>两山</w:t>
      </w:r>
      <w:r>
        <w:rPr>
          <w:rFonts w:hint="eastAsia" w:cs="Times New Roman"/>
          <w:b w:val="0"/>
          <w:bCs w:val="0"/>
          <w:color w:val="auto"/>
          <w:spacing w:val="2"/>
          <w:sz w:val="32"/>
          <w:szCs w:val="32"/>
          <w:highlight w:val="none"/>
          <w:lang w:val="en-US" w:eastAsia="zh-CN"/>
        </w:rPr>
        <w:t>”</w:t>
      </w:r>
      <w:r>
        <w:rPr>
          <w:rFonts w:hint="default" w:ascii="Times New Roman" w:hAnsi="Times New Roman" w:eastAsia="仿宋_GB2312" w:cs="Times New Roman"/>
          <w:b w:val="0"/>
          <w:bCs w:val="0"/>
          <w:color w:val="auto"/>
          <w:spacing w:val="2"/>
          <w:sz w:val="32"/>
          <w:szCs w:val="32"/>
          <w:highlight w:val="none"/>
          <w:lang w:val="en-US" w:eastAsia="zh-CN"/>
        </w:rPr>
        <w:t>转化新路径，推进经济社会发展全面绿色转型，建设秦岭南麓生物多样性保护和重要水源涵养区，争创国家生态文明建设示范区，让绿色成为汉台区最鲜明的底色。</w:t>
      </w:r>
    </w:p>
    <w:p w14:paraId="1F00386B">
      <w:pPr>
        <w:keepNext w:val="0"/>
        <w:keepLines w:val="0"/>
        <w:pageBreakBefore w:val="0"/>
        <w:widowControl w:val="0"/>
        <w:suppressLineNumbers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eastAsia" w:ascii="Times New Roman" w:hAnsi="Times New Roman" w:eastAsia="楷体_GB2312" w:cs="Times New Roman"/>
          <w:b w:val="0"/>
          <w:bCs w:val="0"/>
          <w:color w:val="auto"/>
          <w:sz w:val="32"/>
          <w:szCs w:val="32"/>
          <w:lang w:val="en-US" w:eastAsia="zh-CN"/>
        </w:rPr>
        <w:t>——</w:t>
      </w:r>
      <w:r>
        <w:rPr>
          <w:rFonts w:hint="default" w:ascii="Times New Roman" w:hAnsi="Times New Roman" w:eastAsia="楷体_GB2312" w:cs="Times New Roman"/>
          <w:b w:val="0"/>
          <w:bCs w:val="0"/>
          <w:color w:val="auto"/>
          <w:sz w:val="32"/>
          <w:szCs w:val="32"/>
          <w:lang w:val="en-US" w:eastAsia="zh-CN"/>
        </w:rPr>
        <w:t>区域现代化中心城市引领区。</w:t>
      </w:r>
      <w:r>
        <w:rPr>
          <w:rFonts w:hint="default" w:ascii="Times New Roman" w:hAnsi="Times New Roman" w:eastAsia="仿宋_GB2312" w:cs="Times New Roman"/>
          <w:b w:val="0"/>
          <w:bCs w:val="0"/>
          <w:color w:val="auto"/>
          <w:spacing w:val="2"/>
          <w:sz w:val="32"/>
          <w:szCs w:val="32"/>
          <w:highlight w:val="none"/>
          <w:lang w:val="en-US" w:eastAsia="zh-CN"/>
        </w:rPr>
        <w:t>立足陕甘川毗邻地区最大的商贸旅游中心城市，发挥汉中市中心城区核心区优势，牵引</w:t>
      </w:r>
      <w:r>
        <w:rPr>
          <w:rFonts w:hint="eastAsia" w:cs="Times New Roman"/>
          <w:b w:val="0"/>
          <w:bCs w:val="0"/>
          <w:color w:val="auto"/>
          <w:spacing w:val="2"/>
          <w:sz w:val="32"/>
          <w:szCs w:val="32"/>
          <w:highlight w:val="none"/>
          <w:lang w:val="en-US" w:eastAsia="zh-CN"/>
        </w:rPr>
        <w:t>“</w:t>
      </w:r>
      <w:r>
        <w:rPr>
          <w:rFonts w:hint="default" w:ascii="Times New Roman" w:hAnsi="Times New Roman" w:eastAsia="仿宋_GB2312" w:cs="Times New Roman"/>
          <w:b w:val="0"/>
          <w:bCs w:val="0"/>
          <w:color w:val="auto"/>
          <w:spacing w:val="2"/>
          <w:sz w:val="32"/>
          <w:szCs w:val="32"/>
          <w:highlight w:val="none"/>
          <w:lang w:val="en-US" w:eastAsia="zh-CN"/>
        </w:rPr>
        <w:t>汉—南—城</w:t>
      </w:r>
      <w:r>
        <w:rPr>
          <w:rFonts w:hint="eastAsia" w:cs="Times New Roman"/>
          <w:b w:val="0"/>
          <w:bCs w:val="0"/>
          <w:color w:val="auto"/>
          <w:spacing w:val="2"/>
          <w:sz w:val="32"/>
          <w:szCs w:val="32"/>
          <w:highlight w:val="none"/>
          <w:lang w:val="en-US" w:eastAsia="zh-CN"/>
        </w:rPr>
        <w:t>”</w:t>
      </w:r>
      <w:r>
        <w:rPr>
          <w:rFonts w:hint="default" w:ascii="Times New Roman" w:hAnsi="Times New Roman" w:eastAsia="仿宋_GB2312" w:cs="Times New Roman"/>
          <w:b w:val="0"/>
          <w:bCs w:val="0"/>
          <w:color w:val="auto"/>
          <w:spacing w:val="2"/>
          <w:sz w:val="32"/>
          <w:szCs w:val="32"/>
          <w:highlight w:val="none"/>
          <w:lang w:val="en-US" w:eastAsia="zh-CN"/>
        </w:rPr>
        <w:t>一体化发展，主动服务西安、汉中协同引领关中、陕南融合发展，深度参与成渝西协同发展和西汉蓉航空产业带建设，共建汉江生态经济走廊，以跨区域联结型地区中心城市建设为抓手，推进宜居康养和汉文化旅游目的地建设，带动省际毗邻地区联动发展，为欠发达省际交界区跨区域合作发展探索路径。</w:t>
      </w:r>
    </w:p>
    <w:p w14:paraId="172D83F3">
      <w:pPr>
        <w:keepNext w:val="0"/>
        <w:keepLines w:val="0"/>
        <w:pageBreakBefore w:val="0"/>
        <w:widowControl w:val="0"/>
        <w:suppressLineNumbers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eastAsia" w:ascii="Times New Roman" w:hAnsi="Times New Roman" w:eastAsia="楷体_GB2312" w:cs="Times New Roman"/>
          <w:b w:val="0"/>
          <w:bCs w:val="0"/>
          <w:color w:val="auto"/>
          <w:sz w:val="32"/>
          <w:szCs w:val="32"/>
          <w:lang w:val="en-US" w:eastAsia="zh-CN"/>
        </w:rPr>
        <w:t>——</w:t>
      </w:r>
      <w:r>
        <w:rPr>
          <w:rFonts w:hint="default" w:ascii="Times New Roman" w:hAnsi="Times New Roman" w:eastAsia="楷体_GB2312" w:cs="Times New Roman"/>
          <w:b w:val="0"/>
          <w:bCs w:val="0"/>
          <w:color w:val="auto"/>
          <w:sz w:val="32"/>
          <w:szCs w:val="32"/>
          <w:lang w:val="en-US" w:eastAsia="zh-CN"/>
        </w:rPr>
        <w:t>全省共同富裕模范区。</w:t>
      </w:r>
      <w:r>
        <w:rPr>
          <w:rFonts w:hint="default" w:ascii="Times New Roman" w:hAnsi="Times New Roman" w:eastAsia="仿宋_GB2312" w:cs="Times New Roman"/>
          <w:b w:val="0"/>
          <w:bCs w:val="0"/>
          <w:color w:val="auto"/>
          <w:spacing w:val="2"/>
          <w:sz w:val="32"/>
          <w:szCs w:val="32"/>
          <w:highlight w:val="none"/>
          <w:lang w:val="en-US" w:eastAsia="zh-CN"/>
        </w:rPr>
        <w:t>统筹推进以人为核心的新型城镇化和乡村全面振兴，把缩小城乡、区域、收入</w:t>
      </w:r>
      <w:r>
        <w:rPr>
          <w:rFonts w:hint="eastAsia" w:cs="Times New Roman"/>
          <w:b w:val="0"/>
          <w:bCs w:val="0"/>
          <w:color w:val="auto"/>
          <w:spacing w:val="2"/>
          <w:sz w:val="32"/>
          <w:szCs w:val="32"/>
          <w:highlight w:val="none"/>
          <w:lang w:val="en-US" w:eastAsia="zh-CN"/>
        </w:rPr>
        <w:t>“</w:t>
      </w:r>
      <w:r>
        <w:rPr>
          <w:rFonts w:hint="default" w:ascii="Times New Roman" w:hAnsi="Times New Roman" w:eastAsia="仿宋_GB2312" w:cs="Times New Roman"/>
          <w:b w:val="0"/>
          <w:bCs w:val="0"/>
          <w:color w:val="auto"/>
          <w:spacing w:val="2"/>
          <w:sz w:val="32"/>
          <w:szCs w:val="32"/>
          <w:highlight w:val="none"/>
          <w:lang w:val="en-US" w:eastAsia="zh-CN"/>
        </w:rPr>
        <w:t>三大差距</w:t>
      </w:r>
      <w:r>
        <w:rPr>
          <w:rFonts w:hint="eastAsia" w:cs="Times New Roman"/>
          <w:b w:val="0"/>
          <w:bCs w:val="0"/>
          <w:color w:val="auto"/>
          <w:spacing w:val="2"/>
          <w:sz w:val="32"/>
          <w:szCs w:val="32"/>
          <w:highlight w:val="none"/>
          <w:lang w:val="en-US" w:eastAsia="zh-CN"/>
        </w:rPr>
        <w:t>”</w:t>
      </w:r>
      <w:r>
        <w:rPr>
          <w:rFonts w:hint="default" w:ascii="Times New Roman" w:hAnsi="Times New Roman" w:eastAsia="仿宋_GB2312" w:cs="Times New Roman"/>
          <w:b w:val="0"/>
          <w:bCs w:val="0"/>
          <w:color w:val="auto"/>
          <w:spacing w:val="2"/>
          <w:sz w:val="32"/>
          <w:szCs w:val="32"/>
          <w:highlight w:val="none"/>
          <w:lang w:val="en-US" w:eastAsia="zh-CN"/>
        </w:rPr>
        <w:t>作为主攻方向，系统推进</w:t>
      </w:r>
      <w:r>
        <w:rPr>
          <w:rFonts w:hint="eastAsia" w:cs="Times New Roman"/>
          <w:b w:val="0"/>
          <w:bCs w:val="0"/>
          <w:color w:val="auto"/>
          <w:spacing w:val="2"/>
          <w:sz w:val="32"/>
          <w:szCs w:val="32"/>
          <w:highlight w:val="none"/>
          <w:lang w:val="en-US" w:eastAsia="zh-CN"/>
        </w:rPr>
        <w:t>“</w:t>
      </w:r>
      <w:r>
        <w:rPr>
          <w:rFonts w:hint="default" w:ascii="Times New Roman" w:hAnsi="Times New Roman" w:eastAsia="仿宋_GB2312" w:cs="Times New Roman"/>
          <w:b w:val="0"/>
          <w:bCs w:val="0"/>
          <w:color w:val="auto"/>
          <w:spacing w:val="2"/>
          <w:sz w:val="32"/>
          <w:szCs w:val="32"/>
          <w:highlight w:val="none"/>
          <w:lang w:val="en-US" w:eastAsia="zh-CN"/>
        </w:rPr>
        <w:t>扩中提低、公共服务均等化、城乡区域协调、精神文明富足、绿色低碳共富</w:t>
      </w:r>
      <w:r>
        <w:rPr>
          <w:rFonts w:hint="eastAsia" w:cs="Times New Roman"/>
          <w:b w:val="0"/>
          <w:bCs w:val="0"/>
          <w:color w:val="auto"/>
          <w:spacing w:val="2"/>
          <w:sz w:val="32"/>
          <w:szCs w:val="32"/>
          <w:highlight w:val="none"/>
          <w:lang w:val="en-US" w:eastAsia="zh-CN"/>
        </w:rPr>
        <w:t>”</w:t>
      </w:r>
      <w:r>
        <w:rPr>
          <w:rFonts w:hint="default" w:ascii="Times New Roman" w:hAnsi="Times New Roman" w:eastAsia="仿宋_GB2312" w:cs="Times New Roman"/>
          <w:b w:val="0"/>
          <w:bCs w:val="0"/>
          <w:color w:val="auto"/>
          <w:spacing w:val="2"/>
          <w:sz w:val="32"/>
          <w:szCs w:val="32"/>
          <w:highlight w:val="none"/>
          <w:lang w:val="en-US" w:eastAsia="zh-CN"/>
        </w:rPr>
        <w:t>等工作，努力打造全市为民服务首善区，建设可复制可推广的全省共同富裕模范区，使汉台成为人民向往的美好生活幸福家园。</w:t>
      </w:r>
    </w:p>
    <w:p w14:paraId="3E9155E4">
      <w:pPr>
        <w:keepNext w:val="0"/>
        <w:keepLines w:val="0"/>
        <w:pageBreakBefore w:val="0"/>
        <w:widowControl w:val="0"/>
        <w:suppressLineNumbers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eastAsia" w:ascii="Times New Roman" w:hAnsi="Times New Roman" w:eastAsia="楷体_GB2312" w:cs="Times New Roman"/>
          <w:b w:val="0"/>
          <w:bCs w:val="0"/>
          <w:color w:val="auto"/>
          <w:sz w:val="32"/>
          <w:szCs w:val="32"/>
          <w:lang w:val="en-US" w:eastAsia="zh-CN"/>
        </w:rPr>
        <w:t>——</w:t>
      </w:r>
      <w:r>
        <w:rPr>
          <w:rFonts w:hint="default" w:ascii="Times New Roman" w:hAnsi="Times New Roman" w:eastAsia="楷体_GB2312" w:cs="Times New Roman"/>
          <w:b w:val="0"/>
          <w:bCs w:val="0"/>
          <w:color w:val="auto"/>
          <w:sz w:val="32"/>
          <w:szCs w:val="32"/>
          <w:lang w:val="en-US" w:eastAsia="zh-CN"/>
        </w:rPr>
        <w:t>陕南新质生产力发展先行区。</w:t>
      </w:r>
      <w:r>
        <w:rPr>
          <w:rFonts w:hint="default" w:ascii="Times New Roman" w:hAnsi="Times New Roman" w:eastAsia="仿宋_GB2312" w:cs="Times New Roman"/>
          <w:b w:val="0"/>
          <w:bCs w:val="0"/>
          <w:color w:val="auto"/>
          <w:spacing w:val="2"/>
          <w:sz w:val="32"/>
          <w:szCs w:val="32"/>
          <w:highlight w:val="none"/>
          <w:lang w:val="en-US" w:eastAsia="zh-CN"/>
        </w:rPr>
        <w:t>紧抓西安、汉中产业共兴战略契机，积极主动对接西安科创资源，共建产学研协同创新平台，以科技创新驱动产业升级，不断壮大文化旅游、装备制造、绿色食药等特色产业集群，加快培育数字经济、低空经济等新兴产业，在发展新质生产力上先行先试、成势提效，加快构建现代化产业体系，为陕南生态优先绿色升级的高质量发展路径打造实践样板。</w:t>
      </w:r>
    </w:p>
    <w:p w14:paraId="44D61B13">
      <w:pPr>
        <w:keepNext w:val="0"/>
        <w:keepLines w:val="0"/>
        <w:pageBreakBefore w:val="0"/>
        <w:widowControl w:val="0"/>
        <w:suppressLineNumbers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eastAsia" w:ascii="Times New Roman" w:hAnsi="Times New Roman" w:eastAsia="楷体_GB2312" w:cs="Times New Roman"/>
          <w:b w:val="0"/>
          <w:bCs w:val="0"/>
          <w:color w:val="auto"/>
          <w:sz w:val="32"/>
          <w:szCs w:val="32"/>
          <w:lang w:val="en-US" w:eastAsia="zh-CN"/>
        </w:rPr>
        <w:t>——</w:t>
      </w:r>
      <w:r>
        <w:rPr>
          <w:rFonts w:hint="default" w:ascii="Times New Roman" w:hAnsi="Times New Roman" w:eastAsia="楷体_GB2312" w:cs="Times New Roman"/>
          <w:b w:val="0"/>
          <w:bCs w:val="0"/>
          <w:color w:val="auto"/>
          <w:sz w:val="32"/>
          <w:szCs w:val="32"/>
          <w:lang w:val="en-US" w:eastAsia="zh-CN"/>
        </w:rPr>
        <w:t>全市基层治理首善区。</w:t>
      </w:r>
      <w:r>
        <w:rPr>
          <w:rFonts w:hint="default" w:ascii="Times New Roman" w:hAnsi="Times New Roman" w:eastAsia="仿宋_GB2312" w:cs="Times New Roman"/>
          <w:b w:val="0"/>
          <w:bCs w:val="0"/>
          <w:color w:val="auto"/>
          <w:spacing w:val="2"/>
          <w:sz w:val="32"/>
          <w:szCs w:val="32"/>
          <w:highlight w:val="none"/>
          <w:lang w:val="en-US" w:eastAsia="zh-CN"/>
        </w:rPr>
        <w:t>坚持市区共建共治共享，推动城市治理模式创新、治理方式重塑、治理体系重构，加大保障和改善民生力度，积极防范化解重点领域风险，切实</w:t>
      </w:r>
      <w:r>
        <w:rPr>
          <w:rFonts w:hint="default" w:ascii="Times New Roman" w:hAnsi="Times New Roman" w:cs="Times New Roman"/>
          <w:b w:val="0"/>
          <w:bCs w:val="0"/>
          <w:color w:val="auto"/>
          <w:spacing w:val="2"/>
          <w:sz w:val="32"/>
          <w:szCs w:val="32"/>
          <w:highlight w:val="none"/>
          <w:lang w:val="en-US" w:eastAsia="zh-CN"/>
        </w:rPr>
        <w:t>解决好人民群众急难愁盼问题</w:t>
      </w:r>
      <w:r>
        <w:rPr>
          <w:rFonts w:hint="default" w:ascii="Times New Roman" w:hAnsi="Times New Roman" w:eastAsia="仿宋_GB2312" w:cs="Times New Roman"/>
          <w:b w:val="0"/>
          <w:bCs w:val="0"/>
          <w:color w:val="auto"/>
          <w:spacing w:val="2"/>
          <w:sz w:val="32"/>
          <w:szCs w:val="32"/>
          <w:highlight w:val="none"/>
          <w:lang w:val="en-US" w:eastAsia="zh-CN"/>
        </w:rPr>
        <w:t>，提高为民服务质量，建设基层治理首善区，在实现高质量发展和高水平安全良性互动上走前列当示范，在保障和改善民生、推进社会治理现代化上走在全市前列，实现社会大局安定和谐。</w:t>
      </w:r>
    </w:p>
    <w:p w14:paraId="5CA10062">
      <w:pPr>
        <w:pStyle w:val="6"/>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center"/>
        <w:rPr>
          <w:rFonts w:hint="eastAsia" w:ascii="CESI黑体-GB2312" w:hAnsi="CESI黑体-GB2312" w:eastAsia="CESI黑体-GB2312" w:cs="CESI黑体-GB2312"/>
          <w:b w:val="0"/>
          <w:bCs/>
          <w:color w:val="auto"/>
          <w:lang w:val="en-US" w:eastAsia="zh-CN"/>
        </w:rPr>
      </w:pPr>
      <w:bookmarkStart w:id="35" w:name="_Toc29163"/>
      <w:bookmarkStart w:id="36" w:name="_Toc15074"/>
      <w:bookmarkStart w:id="37" w:name="_Toc10880"/>
      <w:r>
        <w:rPr>
          <w:rFonts w:hint="eastAsia" w:ascii="CESI黑体-GB2312" w:hAnsi="CESI黑体-GB2312" w:eastAsia="CESI黑体-GB2312" w:cs="CESI黑体-GB2312"/>
          <w:b w:val="0"/>
          <w:bCs/>
          <w:color w:val="auto"/>
          <w:lang w:val="en-US" w:eastAsia="zh-CN"/>
        </w:rPr>
        <w:t>第四节  发展目标</w:t>
      </w:r>
      <w:bookmarkEnd w:id="35"/>
      <w:bookmarkEnd w:id="36"/>
      <w:bookmarkEnd w:id="37"/>
    </w:p>
    <w:p w14:paraId="1BE92BFA">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default" w:ascii="Times New Roman" w:hAnsi="Times New Roman" w:eastAsia="仿宋_GB2312" w:cs="Times New Roman"/>
          <w:b w:val="0"/>
          <w:bCs w:val="0"/>
          <w:color w:val="auto"/>
          <w:spacing w:val="2"/>
          <w:sz w:val="32"/>
          <w:szCs w:val="32"/>
          <w:highlight w:val="none"/>
          <w:lang w:val="en-US" w:eastAsia="zh-CN"/>
        </w:rPr>
        <w:t>到2030年，高质量发展取得显著成效，新质生产力加快发展，全面深化改革取得突破，美丽汉台建设取得重大进展，人民生活品质大幅提高。</w:t>
      </w:r>
    </w:p>
    <w:p w14:paraId="37B36B02">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eastAsia" w:ascii="楷体_GB2312" w:hAnsi="楷体_GB2312" w:eastAsia="楷体_GB2312" w:cs="楷体_GB2312"/>
          <w:b w:val="0"/>
          <w:bCs w:val="0"/>
          <w:lang w:val="en-US" w:eastAsia="zh-CN"/>
        </w:rPr>
        <w:t>——</w:t>
      </w:r>
      <w:r>
        <w:rPr>
          <w:rFonts w:hint="eastAsia" w:ascii="楷体_GB2312" w:hAnsi="楷体_GB2312" w:eastAsia="楷体_GB2312" w:cs="楷体_GB2312"/>
          <w:b w:val="0"/>
          <w:bCs w:val="0"/>
          <w:color w:val="auto"/>
          <w:sz w:val="32"/>
          <w:szCs w:val="32"/>
          <w:lang w:val="en-US" w:eastAsia="zh-CN"/>
        </w:rPr>
        <w:t>综合实力迈上新台阶。</w:t>
      </w:r>
      <w:r>
        <w:rPr>
          <w:rFonts w:hint="default" w:ascii="Times New Roman" w:hAnsi="Times New Roman" w:eastAsia="仿宋_GB2312" w:cs="Times New Roman"/>
          <w:b w:val="0"/>
          <w:bCs w:val="0"/>
          <w:color w:val="auto"/>
          <w:spacing w:val="2"/>
          <w:sz w:val="32"/>
          <w:szCs w:val="32"/>
          <w:highlight w:val="none"/>
          <w:lang w:val="en-US" w:eastAsia="zh-CN"/>
        </w:rPr>
        <w:t>全区地区生产总值年均增长6.5%以上，规模以上工业增加值年均增长8%。以现代服务业、先进制造业、战略性新兴产业、都市农业、数字经济为引擎的现代化产业体系基本形成。</w:t>
      </w:r>
    </w:p>
    <w:p w14:paraId="02A02170">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default" w:ascii="楷体_GB2312" w:hAnsi="楷体_GB2312" w:eastAsia="楷体_GB2312" w:cs="楷体_GB2312"/>
          <w:b w:val="0"/>
          <w:bCs w:val="0"/>
          <w:lang w:val="en-US" w:eastAsia="zh-CN"/>
        </w:rPr>
        <w:t>——发展动能得到新增强。</w:t>
      </w:r>
      <w:r>
        <w:rPr>
          <w:rFonts w:hint="default" w:ascii="Times New Roman" w:hAnsi="Times New Roman" w:eastAsia="仿宋_GB2312" w:cs="Times New Roman"/>
          <w:b w:val="0"/>
          <w:bCs w:val="0"/>
          <w:color w:val="auto"/>
          <w:spacing w:val="2"/>
          <w:sz w:val="32"/>
          <w:szCs w:val="32"/>
          <w:highlight w:val="none"/>
          <w:lang w:val="en-US" w:eastAsia="zh-CN"/>
        </w:rPr>
        <w:t>重点领域和关键环节改革取得重大突破，营商环境便利度持续提升，市场主体更加充满活力，高新技术企业达到1</w:t>
      </w:r>
      <w:r>
        <w:rPr>
          <w:rFonts w:hint="default" w:ascii="Times New Roman" w:hAnsi="Times New Roman" w:cs="Times New Roman"/>
          <w:b w:val="0"/>
          <w:bCs w:val="0"/>
          <w:color w:val="auto"/>
          <w:spacing w:val="2"/>
          <w:sz w:val="32"/>
          <w:szCs w:val="32"/>
          <w:highlight w:val="none"/>
          <w:lang w:val="en-US" w:eastAsia="zh-CN"/>
        </w:rPr>
        <w:t>35</w:t>
      </w:r>
      <w:r>
        <w:rPr>
          <w:rFonts w:hint="default" w:ascii="Times New Roman" w:hAnsi="Times New Roman" w:eastAsia="仿宋_GB2312" w:cs="Times New Roman"/>
          <w:b w:val="0"/>
          <w:bCs w:val="0"/>
          <w:color w:val="auto"/>
          <w:spacing w:val="2"/>
          <w:sz w:val="32"/>
          <w:szCs w:val="32"/>
          <w:highlight w:val="none"/>
          <w:lang w:val="en-US" w:eastAsia="zh-CN"/>
        </w:rPr>
        <w:t>家，全社会研发经费投入年均增长4%，全员劳动生产率年均增长7%。对外交流合作持续加强，开放型经济不断壮大，货物贸易进出口总额年均增长5%。</w:t>
      </w:r>
    </w:p>
    <w:p w14:paraId="6EB015FB">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default" w:ascii="楷体_GB2312" w:hAnsi="楷体_GB2312" w:eastAsia="楷体_GB2312" w:cs="楷体_GB2312"/>
          <w:b w:val="0"/>
          <w:bCs w:val="0"/>
          <w:lang w:val="en-US" w:eastAsia="zh-CN"/>
        </w:rPr>
        <w:t>——城乡融合展现新面貌。</w:t>
      </w:r>
      <w:r>
        <w:rPr>
          <w:rFonts w:hint="default" w:ascii="Times New Roman" w:hAnsi="Times New Roman" w:eastAsia="仿宋_GB2312" w:cs="Times New Roman"/>
          <w:b w:val="0"/>
          <w:bCs w:val="0"/>
          <w:color w:val="auto"/>
          <w:spacing w:val="2"/>
          <w:sz w:val="32"/>
          <w:szCs w:val="32"/>
          <w:highlight w:val="none"/>
          <w:lang w:val="en-US" w:eastAsia="zh-CN"/>
        </w:rPr>
        <w:t>资源要素双向流动、城乡互促攻坚的新格局基本形成，新型城镇化和乡村全面振兴取得重大进展，脱贫攻坚成果持续巩固拓展，农业农村现代化提速提效，城乡发展差距持续缩小，常住人口城镇化率达到78%。</w:t>
      </w:r>
    </w:p>
    <w:p w14:paraId="2A6D945C">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default" w:ascii="楷体_GB2312" w:hAnsi="楷体_GB2312" w:eastAsia="楷体_GB2312" w:cs="楷体_GB2312"/>
          <w:b w:val="0"/>
          <w:bCs w:val="0"/>
          <w:lang w:val="en-US" w:eastAsia="zh-CN"/>
        </w:rPr>
        <w:t>——生活品质达到新水平。</w:t>
      </w:r>
      <w:r>
        <w:rPr>
          <w:rFonts w:hint="default" w:ascii="Times New Roman" w:hAnsi="Times New Roman" w:eastAsia="仿宋_GB2312" w:cs="Times New Roman"/>
          <w:b w:val="0"/>
          <w:bCs w:val="0"/>
          <w:color w:val="auto"/>
          <w:spacing w:val="2"/>
          <w:sz w:val="32"/>
          <w:szCs w:val="32"/>
          <w:highlight w:val="none"/>
          <w:lang w:val="en-US" w:eastAsia="zh-CN"/>
        </w:rPr>
        <w:t>生态安全屏障进一步筑牢筑实，碳达峰目标如期实现，美丽汉台建设全域高质量推进。人民精神文化生活更加丰富，文化强区建设迈上新台阶。基本公共服务均等化水平明显提高，社会保障体系更加健全，全体居民人均可支配收入年均增长6.5%。</w:t>
      </w:r>
    </w:p>
    <w:p w14:paraId="705958CB">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pacing w:val="2"/>
          <w:sz w:val="32"/>
          <w:szCs w:val="32"/>
          <w:highlight w:val="none"/>
          <w:lang w:val="en-US" w:eastAsia="zh-CN"/>
        </w:rPr>
      </w:pPr>
      <w:r>
        <w:rPr>
          <w:rFonts w:hint="default" w:ascii="楷体_GB2312" w:hAnsi="楷体_GB2312" w:eastAsia="楷体_GB2312" w:cs="楷体_GB2312"/>
          <w:b w:val="0"/>
          <w:bCs w:val="0"/>
          <w:lang w:val="en-US" w:eastAsia="zh-CN"/>
        </w:rPr>
        <w:t>——安全发展形成新格局。</w:t>
      </w:r>
      <w:r>
        <w:rPr>
          <w:rFonts w:hint="default" w:ascii="Times New Roman" w:hAnsi="Times New Roman" w:eastAsia="仿宋_GB2312" w:cs="Times New Roman"/>
          <w:b w:val="0"/>
          <w:bCs w:val="0"/>
          <w:color w:val="auto"/>
          <w:spacing w:val="2"/>
          <w:sz w:val="32"/>
          <w:szCs w:val="32"/>
          <w:highlight w:val="none"/>
          <w:lang w:val="en-US" w:eastAsia="zh-CN"/>
        </w:rPr>
        <w:t>安全体系和能力进一步加强，重点领域风险得到有效防范化解，社会治理和公共安全治理水平明显提高，应急保障能力显著增强，民族团结、宗教和顺、社会安定的局面巩固发展，更高水平平安汉台、法治汉台建设扎实推进。</w:t>
      </w:r>
    </w:p>
    <w:p w14:paraId="115948C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val="0"/>
          <w:bCs w:val="0"/>
          <w:color w:val="auto"/>
          <w:spacing w:val="2"/>
          <w:sz w:val="32"/>
          <w:szCs w:val="32"/>
          <w:highlight w:val="none"/>
          <w:lang w:val="en-US" w:eastAsia="zh-CN"/>
        </w:rPr>
        <w:t>在此基础上再奋斗五年，到2035年，全区经济建设、政治建设、文化建设、社会建设、生态文明建设迈上新台阶，基本实现新型工业化、信息化、城镇化、农业现代化，人民生活更加幸福美好，与全国全省全市同步基本实现社会主义现代化</w:t>
      </w:r>
      <w:r>
        <w:rPr>
          <w:rFonts w:hint="default" w:ascii="Times New Roman" w:hAnsi="Times New Roman" w:cs="Times New Roman"/>
          <w:b w:val="0"/>
          <w:bCs w:val="0"/>
          <w:color w:val="auto"/>
          <w:spacing w:val="2"/>
          <w:sz w:val="32"/>
          <w:szCs w:val="32"/>
          <w:highlight w:val="none"/>
          <w:lang w:val="en-US" w:eastAsia="zh-CN"/>
        </w:rPr>
        <w:t>。</w:t>
      </w:r>
    </w:p>
    <w:p w14:paraId="6483884B">
      <w:pPr>
        <w:keepNext w:val="0"/>
        <w:keepLines w:val="0"/>
        <w:pageBreakBefore w:val="0"/>
        <w:widowControl w:val="0"/>
        <w:kinsoku/>
        <w:wordWrap/>
        <w:overflowPunct/>
        <w:topLinePunct w:val="0"/>
        <w:autoSpaceDE/>
        <w:autoSpaceDN/>
        <w:bidi w:val="0"/>
        <w:adjustRightInd w:val="0"/>
        <w:snapToGrid w:val="0"/>
        <w:spacing w:line="240" w:lineRule="auto"/>
        <w:ind w:firstLine="632" w:firstLineChars="200"/>
        <w:textAlignment w:val="center"/>
        <w:rPr>
          <w:rFonts w:hint="default" w:ascii="Times New Roman" w:hAnsi="Times New Roman" w:eastAsia="仿宋_GB2312" w:cs="Times New Roman"/>
          <w:color w:val="auto"/>
          <w:sz w:val="32"/>
          <w:szCs w:val="32"/>
        </w:rPr>
        <w:sectPr>
          <w:footerReference r:id="rId5" w:type="default"/>
          <w:footerReference r:id="rId6" w:type="even"/>
          <w:pgSz w:w="11906" w:h="16838"/>
          <w:pgMar w:top="2098" w:right="1474" w:bottom="1984" w:left="1587" w:header="851" w:footer="1304" w:gutter="0"/>
          <w:paperSrc/>
          <w:pgBorders>
            <w:top w:val="none" w:sz="0" w:space="0"/>
            <w:left w:val="none" w:sz="0" w:space="0"/>
            <w:bottom w:val="none" w:sz="0" w:space="0"/>
            <w:right w:val="none" w:sz="0" w:space="0"/>
          </w:pgBorders>
          <w:pgNumType w:fmt="decimal" w:start="1"/>
          <w:cols w:space="720" w:num="1"/>
          <w:rtlGutter w:val="0"/>
          <w:docGrid w:type="linesAndChars" w:linePitch="579" w:charSpace="-842"/>
        </w:sectPr>
      </w:pPr>
    </w:p>
    <w:p w14:paraId="04A417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表1-2  汉台区</w:t>
      </w:r>
      <w:r>
        <w:rPr>
          <w:rFonts w:hint="eastAsia" w:eastAsia="黑体" w:cs="Times New Roman"/>
          <w:color w:val="auto"/>
          <w:sz w:val="24"/>
          <w:szCs w:val="24"/>
          <w:lang w:val="en-US" w:eastAsia="zh-CN"/>
        </w:rPr>
        <w:t>“</w:t>
      </w:r>
      <w:r>
        <w:rPr>
          <w:rFonts w:hint="default" w:ascii="Times New Roman" w:hAnsi="Times New Roman" w:eastAsia="黑体" w:cs="Times New Roman"/>
          <w:color w:val="auto"/>
          <w:sz w:val="24"/>
          <w:szCs w:val="24"/>
          <w:lang w:val="en-US" w:eastAsia="zh-CN"/>
        </w:rPr>
        <w:t>十五五</w:t>
      </w:r>
      <w:r>
        <w:rPr>
          <w:rFonts w:hint="eastAsia" w:eastAsia="黑体" w:cs="Times New Roman"/>
          <w:color w:val="auto"/>
          <w:sz w:val="24"/>
          <w:szCs w:val="24"/>
          <w:lang w:val="en-US" w:eastAsia="zh-CN"/>
        </w:rPr>
        <w:t>”</w:t>
      </w:r>
      <w:r>
        <w:rPr>
          <w:rFonts w:hint="default" w:ascii="Times New Roman" w:hAnsi="Times New Roman" w:eastAsia="黑体" w:cs="Times New Roman"/>
          <w:color w:val="auto"/>
          <w:sz w:val="24"/>
          <w:szCs w:val="24"/>
          <w:lang w:val="en-US" w:eastAsia="zh-CN"/>
        </w:rPr>
        <w:t>规划主要指标</w:t>
      </w:r>
    </w:p>
    <w:tbl>
      <w:tblPr>
        <w:tblStyle w:val="14"/>
        <w:tblW w:w="9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1"/>
        <w:gridCol w:w="715"/>
        <w:gridCol w:w="4138"/>
        <w:gridCol w:w="948"/>
        <w:gridCol w:w="949"/>
        <w:gridCol w:w="959"/>
        <w:gridCol w:w="785"/>
      </w:tblGrid>
      <w:tr w14:paraId="3488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blHeader/>
          <w:jc w:val="center"/>
        </w:trPr>
        <w:tc>
          <w:tcPr>
            <w:tcW w:w="541" w:type="dxa"/>
            <w:noWrap w:val="0"/>
            <w:tcMar>
              <w:top w:w="15" w:type="dxa"/>
              <w:left w:w="15" w:type="dxa"/>
              <w:right w:w="15" w:type="dxa"/>
            </w:tcMar>
            <w:vAlign w:val="center"/>
          </w:tcPr>
          <w:p w14:paraId="6327368D">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sz w:val="23"/>
                <w:szCs w:val="23"/>
                <w:highlight w:val="none"/>
              </w:rPr>
            </w:pPr>
            <w:r>
              <w:rPr>
                <w:rFonts w:hint="default" w:ascii="Times New Roman" w:hAnsi="Times New Roman" w:eastAsia="宋体" w:cs="Times New Roman"/>
                <w:b/>
                <w:i w:val="0"/>
                <w:color w:val="auto"/>
                <w:kern w:val="0"/>
                <w:sz w:val="23"/>
                <w:szCs w:val="23"/>
                <w:highlight w:val="none"/>
                <w:lang w:bidi="ar"/>
              </w:rPr>
              <w:t>类别</w:t>
            </w:r>
          </w:p>
        </w:tc>
        <w:tc>
          <w:tcPr>
            <w:tcW w:w="715" w:type="dxa"/>
            <w:noWrap w:val="0"/>
            <w:tcMar>
              <w:top w:w="15" w:type="dxa"/>
              <w:left w:w="15" w:type="dxa"/>
              <w:right w:w="15" w:type="dxa"/>
            </w:tcMar>
            <w:vAlign w:val="center"/>
          </w:tcPr>
          <w:p w14:paraId="7B8EF9D1">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kern w:val="0"/>
                <w:sz w:val="23"/>
                <w:szCs w:val="23"/>
                <w:highlight w:val="none"/>
                <w:lang w:bidi="ar"/>
              </w:rPr>
            </w:pPr>
            <w:r>
              <w:rPr>
                <w:rFonts w:hint="default" w:ascii="Times New Roman" w:hAnsi="Times New Roman" w:eastAsia="宋体" w:cs="Times New Roman"/>
                <w:b/>
                <w:i w:val="0"/>
                <w:color w:val="auto"/>
                <w:kern w:val="0"/>
                <w:sz w:val="23"/>
                <w:szCs w:val="23"/>
                <w:highlight w:val="none"/>
                <w:lang w:bidi="ar"/>
              </w:rPr>
              <w:t>序号</w:t>
            </w:r>
          </w:p>
        </w:tc>
        <w:tc>
          <w:tcPr>
            <w:tcW w:w="4138" w:type="dxa"/>
            <w:noWrap w:val="0"/>
            <w:tcMar>
              <w:top w:w="15" w:type="dxa"/>
              <w:left w:w="15" w:type="dxa"/>
              <w:right w:w="15" w:type="dxa"/>
            </w:tcMar>
            <w:vAlign w:val="center"/>
          </w:tcPr>
          <w:p w14:paraId="43984654">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sz w:val="23"/>
                <w:szCs w:val="23"/>
                <w:highlight w:val="none"/>
              </w:rPr>
            </w:pPr>
            <w:r>
              <w:rPr>
                <w:rFonts w:hint="default" w:ascii="Times New Roman" w:hAnsi="Times New Roman" w:eastAsia="宋体" w:cs="Times New Roman"/>
                <w:b/>
                <w:i w:val="0"/>
                <w:color w:val="auto"/>
                <w:kern w:val="0"/>
                <w:sz w:val="23"/>
                <w:szCs w:val="23"/>
                <w:highlight w:val="none"/>
                <w:lang w:bidi="ar"/>
              </w:rPr>
              <w:t>指标名称</w:t>
            </w:r>
          </w:p>
        </w:tc>
        <w:tc>
          <w:tcPr>
            <w:tcW w:w="948" w:type="dxa"/>
            <w:noWrap w:val="0"/>
            <w:tcMar>
              <w:top w:w="15" w:type="dxa"/>
              <w:left w:w="15" w:type="dxa"/>
              <w:right w:w="15" w:type="dxa"/>
            </w:tcMar>
            <w:vAlign w:val="center"/>
          </w:tcPr>
          <w:p w14:paraId="5489C16C">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sz w:val="23"/>
                <w:szCs w:val="23"/>
                <w:highlight w:val="none"/>
                <w:lang w:val="en-US" w:eastAsia="zh-CN"/>
              </w:rPr>
            </w:pPr>
            <w:r>
              <w:rPr>
                <w:rFonts w:hint="default" w:ascii="Times New Roman" w:hAnsi="Times New Roman" w:eastAsia="宋体" w:cs="Times New Roman"/>
                <w:b/>
                <w:i w:val="0"/>
                <w:color w:val="auto"/>
                <w:kern w:val="0"/>
                <w:sz w:val="23"/>
                <w:szCs w:val="23"/>
                <w:highlight w:val="none"/>
                <w:lang w:bidi="ar"/>
              </w:rPr>
              <w:t>202</w:t>
            </w:r>
            <w:r>
              <w:rPr>
                <w:rFonts w:hint="default" w:ascii="Times New Roman" w:hAnsi="Times New Roman" w:eastAsia="宋体" w:cs="Times New Roman"/>
                <w:b/>
                <w:i w:val="0"/>
                <w:color w:val="auto"/>
                <w:kern w:val="0"/>
                <w:sz w:val="23"/>
                <w:szCs w:val="23"/>
                <w:highlight w:val="none"/>
                <w:lang w:val="en-US" w:eastAsia="zh-CN" w:bidi="ar"/>
              </w:rPr>
              <w:t>5年</w:t>
            </w:r>
          </w:p>
        </w:tc>
        <w:tc>
          <w:tcPr>
            <w:tcW w:w="949" w:type="dxa"/>
            <w:noWrap w:val="0"/>
            <w:tcMar>
              <w:top w:w="15" w:type="dxa"/>
              <w:left w:w="15" w:type="dxa"/>
              <w:right w:w="15" w:type="dxa"/>
            </w:tcMar>
            <w:vAlign w:val="center"/>
          </w:tcPr>
          <w:p w14:paraId="0BA1BFC2">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sz w:val="23"/>
                <w:szCs w:val="23"/>
                <w:highlight w:val="none"/>
              </w:rPr>
            </w:pPr>
            <w:r>
              <w:rPr>
                <w:rFonts w:hint="default" w:ascii="Times New Roman" w:hAnsi="Times New Roman" w:eastAsia="宋体" w:cs="Times New Roman"/>
                <w:b/>
                <w:i w:val="0"/>
                <w:color w:val="auto"/>
                <w:kern w:val="0"/>
                <w:sz w:val="23"/>
                <w:szCs w:val="23"/>
                <w:highlight w:val="none"/>
                <w:lang w:bidi="ar"/>
              </w:rPr>
              <w:t>20</w:t>
            </w:r>
            <w:r>
              <w:rPr>
                <w:rFonts w:hint="default" w:ascii="Times New Roman" w:hAnsi="Times New Roman" w:eastAsia="宋体" w:cs="Times New Roman"/>
                <w:b/>
                <w:i w:val="0"/>
                <w:color w:val="auto"/>
                <w:kern w:val="0"/>
                <w:sz w:val="23"/>
                <w:szCs w:val="23"/>
                <w:highlight w:val="none"/>
                <w:lang w:val="en-US" w:eastAsia="zh-CN" w:bidi="ar"/>
              </w:rPr>
              <w:t>30年</w:t>
            </w:r>
          </w:p>
        </w:tc>
        <w:tc>
          <w:tcPr>
            <w:tcW w:w="959" w:type="dxa"/>
            <w:noWrap w:val="0"/>
            <w:tcMar>
              <w:top w:w="15" w:type="dxa"/>
              <w:left w:w="15" w:type="dxa"/>
              <w:right w:w="15" w:type="dxa"/>
            </w:tcMar>
            <w:vAlign w:val="center"/>
          </w:tcPr>
          <w:p w14:paraId="1F3DD279">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sz w:val="23"/>
                <w:szCs w:val="23"/>
                <w:highlight w:val="none"/>
              </w:rPr>
            </w:pPr>
            <w:r>
              <w:rPr>
                <w:rFonts w:hint="default" w:ascii="Times New Roman" w:hAnsi="Times New Roman" w:eastAsia="宋体" w:cs="Times New Roman"/>
                <w:b/>
                <w:i w:val="0"/>
                <w:color w:val="auto"/>
                <w:kern w:val="0"/>
                <w:sz w:val="23"/>
                <w:szCs w:val="23"/>
                <w:highlight w:val="none"/>
                <w:lang w:bidi="ar"/>
              </w:rPr>
              <w:t>年均增速</w:t>
            </w:r>
          </w:p>
        </w:tc>
        <w:tc>
          <w:tcPr>
            <w:tcW w:w="785" w:type="dxa"/>
            <w:noWrap w:val="0"/>
            <w:tcMar>
              <w:top w:w="15" w:type="dxa"/>
              <w:left w:w="15" w:type="dxa"/>
              <w:right w:w="15" w:type="dxa"/>
            </w:tcMar>
            <w:vAlign w:val="center"/>
          </w:tcPr>
          <w:p w14:paraId="37417757">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i w:val="0"/>
                <w:color w:val="auto"/>
                <w:sz w:val="23"/>
                <w:szCs w:val="23"/>
                <w:highlight w:val="none"/>
              </w:rPr>
            </w:pPr>
            <w:r>
              <w:rPr>
                <w:rFonts w:hint="default" w:ascii="Times New Roman" w:hAnsi="Times New Roman" w:eastAsia="宋体" w:cs="Times New Roman"/>
                <w:b/>
                <w:i w:val="0"/>
                <w:color w:val="auto"/>
                <w:kern w:val="0"/>
                <w:sz w:val="23"/>
                <w:szCs w:val="23"/>
                <w:highlight w:val="none"/>
                <w:lang w:bidi="ar"/>
              </w:rPr>
              <w:t>属性</w:t>
            </w:r>
          </w:p>
        </w:tc>
      </w:tr>
      <w:tr w14:paraId="700A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restart"/>
            <w:noWrap w:val="0"/>
            <w:tcMar>
              <w:top w:w="15" w:type="dxa"/>
              <w:left w:w="15" w:type="dxa"/>
              <w:right w:w="15" w:type="dxa"/>
            </w:tcMar>
            <w:vAlign w:val="center"/>
          </w:tcPr>
          <w:p w14:paraId="02E52DCE">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r>
              <w:rPr>
                <w:rFonts w:hint="default" w:ascii="Times New Roman" w:hAnsi="Times New Roman" w:eastAsia="宋体" w:cs="Times New Roman"/>
                <w:b w:val="0"/>
                <w:i w:val="0"/>
                <w:color w:val="auto"/>
                <w:kern w:val="0"/>
                <w:sz w:val="23"/>
                <w:szCs w:val="23"/>
                <w:highlight w:val="none"/>
                <w:lang w:val="en-US" w:eastAsia="zh-CN" w:bidi="ar"/>
              </w:rPr>
              <w:t>综合质效</w:t>
            </w:r>
          </w:p>
        </w:tc>
        <w:tc>
          <w:tcPr>
            <w:tcW w:w="715" w:type="dxa"/>
            <w:noWrap w:val="0"/>
            <w:tcMar>
              <w:top w:w="15" w:type="dxa"/>
              <w:left w:w="15" w:type="dxa"/>
              <w:right w:w="15" w:type="dxa"/>
            </w:tcMar>
            <w:vAlign w:val="center"/>
          </w:tcPr>
          <w:p w14:paraId="06C4877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bidi="ar"/>
              </w:rPr>
            </w:pPr>
            <w:r>
              <w:rPr>
                <w:rFonts w:hint="default" w:ascii="Times New Roman" w:hAnsi="Times New Roman" w:eastAsia="宋体" w:cs="Times New Roman"/>
                <w:b w:val="0"/>
                <w:i w:val="0"/>
                <w:color w:val="auto"/>
                <w:kern w:val="0"/>
                <w:sz w:val="23"/>
                <w:szCs w:val="23"/>
                <w:highlight w:val="none"/>
                <w:lang w:bidi="ar"/>
              </w:rPr>
              <w:t>1</w:t>
            </w:r>
          </w:p>
        </w:tc>
        <w:tc>
          <w:tcPr>
            <w:tcW w:w="4138" w:type="dxa"/>
            <w:noWrap w:val="0"/>
            <w:tcMar>
              <w:top w:w="15" w:type="dxa"/>
              <w:left w:w="15" w:type="dxa"/>
              <w:right w:w="15" w:type="dxa"/>
            </w:tcMar>
            <w:vAlign w:val="center"/>
          </w:tcPr>
          <w:p w14:paraId="2F5F95EE">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sz w:val="23"/>
                <w:szCs w:val="23"/>
                <w:highlight w:val="none"/>
                <w:lang w:eastAsia="zh-CN"/>
              </w:rPr>
            </w:pPr>
            <w:r>
              <w:rPr>
                <w:rFonts w:hint="default" w:ascii="Times New Roman" w:hAnsi="Times New Roman" w:eastAsia="宋体" w:cs="Times New Roman"/>
                <w:b w:val="0"/>
                <w:i w:val="0"/>
                <w:color w:val="auto"/>
                <w:kern w:val="0"/>
                <w:sz w:val="23"/>
                <w:szCs w:val="23"/>
                <w:highlight w:val="none"/>
                <w:lang w:bidi="ar"/>
              </w:rPr>
              <w:t>地区生产总值</w:t>
            </w:r>
            <w:r>
              <w:rPr>
                <w:rFonts w:hint="default" w:ascii="Times New Roman" w:hAnsi="Times New Roman" w:eastAsia="宋体" w:cs="Times New Roman"/>
                <w:b w:val="0"/>
                <w:i w:val="0"/>
                <w:color w:val="auto"/>
                <w:kern w:val="0"/>
                <w:sz w:val="23"/>
                <w:szCs w:val="23"/>
                <w:highlight w:val="none"/>
                <w:lang w:val="en-US" w:eastAsia="zh-CN" w:bidi="ar"/>
              </w:rPr>
              <w:t>增速（%）</w:t>
            </w:r>
          </w:p>
        </w:tc>
        <w:tc>
          <w:tcPr>
            <w:tcW w:w="948" w:type="dxa"/>
            <w:noWrap w:val="0"/>
            <w:tcMar>
              <w:top w:w="15" w:type="dxa"/>
              <w:left w:w="15" w:type="dxa"/>
              <w:right w:w="15" w:type="dxa"/>
            </w:tcMar>
            <w:vAlign w:val="center"/>
          </w:tcPr>
          <w:p w14:paraId="48A5C7F4">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r>
              <w:rPr>
                <w:rFonts w:hint="default" w:ascii="Times New Roman" w:hAnsi="Times New Roman" w:eastAsia="宋体" w:cs="Times New Roman"/>
                <w:b w:val="0"/>
                <w:bCs/>
                <w:i w:val="0"/>
                <w:color w:val="auto"/>
                <w:kern w:val="0"/>
                <w:sz w:val="23"/>
                <w:szCs w:val="23"/>
                <w:highlight w:val="none"/>
                <w:lang w:val="en-US" w:eastAsia="zh-CN" w:bidi="ar"/>
              </w:rPr>
              <w:t>6.6</w:t>
            </w:r>
          </w:p>
        </w:tc>
        <w:tc>
          <w:tcPr>
            <w:tcW w:w="949" w:type="dxa"/>
            <w:noWrap w:val="0"/>
            <w:tcMar>
              <w:top w:w="15" w:type="dxa"/>
              <w:left w:w="15" w:type="dxa"/>
              <w:right w:w="15" w:type="dxa"/>
            </w:tcMar>
            <w:vAlign w:val="center"/>
          </w:tcPr>
          <w:p w14:paraId="17733357">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r>
              <w:rPr>
                <w:rFonts w:hint="default" w:ascii="Times New Roman" w:hAnsi="Times New Roman" w:eastAsia="宋体" w:cs="Times New Roman"/>
                <w:b w:val="0"/>
                <w:i w:val="0"/>
                <w:color w:val="auto"/>
                <w:sz w:val="23"/>
                <w:szCs w:val="23"/>
                <w:highlight w:val="none"/>
                <w:lang w:val="en-US" w:eastAsia="zh-CN"/>
              </w:rPr>
              <w:t>-</w:t>
            </w:r>
          </w:p>
        </w:tc>
        <w:tc>
          <w:tcPr>
            <w:tcW w:w="959" w:type="dxa"/>
            <w:noWrap w:val="0"/>
            <w:tcMar>
              <w:top w:w="15" w:type="dxa"/>
              <w:left w:w="15" w:type="dxa"/>
              <w:right w:w="15" w:type="dxa"/>
            </w:tcMar>
            <w:vAlign w:val="center"/>
          </w:tcPr>
          <w:p w14:paraId="01CF790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r>
              <w:rPr>
                <w:rFonts w:hint="default" w:ascii="Times New Roman" w:hAnsi="Times New Roman" w:eastAsia="宋体" w:cs="Times New Roman"/>
                <w:b w:val="0"/>
                <w:i w:val="0"/>
                <w:color w:val="auto"/>
                <w:sz w:val="23"/>
                <w:szCs w:val="23"/>
              </w:rPr>
              <w:t>≥</w:t>
            </w:r>
            <w:r>
              <w:rPr>
                <w:rFonts w:hint="default" w:ascii="Times New Roman" w:hAnsi="Times New Roman" w:eastAsia="宋体" w:cs="Times New Roman"/>
                <w:b w:val="0"/>
                <w:i w:val="0"/>
                <w:color w:val="auto"/>
                <w:kern w:val="0"/>
                <w:sz w:val="23"/>
                <w:szCs w:val="23"/>
                <w:highlight w:val="none"/>
                <w:lang w:bidi="ar"/>
              </w:rPr>
              <w:t>6</w:t>
            </w:r>
            <w:r>
              <w:rPr>
                <w:rFonts w:hint="default" w:ascii="Times New Roman" w:hAnsi="Times New Roman" w:eastAsia="宋体" w:cs="Times New Roman"/>
                <w:b w:val="0"/>
                <w:i w:val="0"/>
                <w:color w:val="auto"/>
                <w:kern w:val="0"/>
                <w:sz w:val="23"/>
                <w:szCs w:val="23"/>
                <w:highlight w:val="none"/>
                <w:lang w:val="en-US" w:eastAsia="zh-CN" w:bidi="ar"/>
              </w:rPr>
              <w:t>.5</w:t>
            </w:r>
            <w:r>
              <w:rPr>
                <w:rFonts w:hint="default" w:ascii="Times New Roman" w:hAnsi="Times New Roman" w:eastAsia="宋体" w:cs="Times New Roman"/>
                <w:b w:val="0"/>
                <w:i w:val="0"/>
                <w:color w:val="auto"/>
                <w:kern w:val="0"/>
                <w:sz w:val="23"/>
                <w:szCs w:val="23"/>
                <w:highlight w:val="none"/>
                <w:lang w:bidi="ar"/>
              </w:rPr>
              <w:t>%</w:t>
            </w:r>
          </w:p>
        </w:tc>
        <w:tc>
          <w:tcPr>
            <w:tcW w:w="785" w:type="dxa"/>
            <w:noWrap w:val="0"/>
            <w:tcMar>
              <w:top w:w="15" w:type="dxa"/>
              <w:left w:w="15" w:type="dxa"/>
              <w:right w:w="15" w:type="dxa"/>
            </w:tcMar>
            <w:vAlign w:val="center"/>
          </w:tcPr>
          <w:p w14:paraId="625FA00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rPr>
            </w:pPr>
            <w:r>
              <w:rPr>
                <w:rFonts w:hint="default" w:ascii="Times New Roman" w:hAnsi="Times New Roman" w:eastAsia="宋体" w:cs="Times New Roman"/>
                <w:b w:val="0"/>
                <w:i w:val="0"/>
                <w:color w:val="auto"/>
                <w:kern w:val="0"/>
                <w:sz w:val="23"/>
                <w:szCs w:val="23"/>
                <w:highlight w:val="none"/>
                <w:lang w:bidi="ar"/>
              </w:rPr>
              <w:t>预期性</w:t>
            </w:r>
          </w:p>
        </w:tc>
      </w:tr>
      <w:tr w14:paraId="5946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6D76C4A6">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rPr>
            </w:pPr>
          </w:p>
        </w:tc>
        <w:tc>
          <w:tcPr>
            <w:tcW w:w="715" w:type="dxa"/>
            <w:noWrap w:val="0"/>
            <w:tcMar>
              <w:top w:w="15" w:type="dxa"/>
              <w:left w:w="15" w:type="dxa"/>
              <w:right w:w="15" w:type="dxa"/>
            </w:tcMar>
            <w:vAlign w:val="center"/>
          </w:tcPr>
          <w:p w14:paraId="75E9C73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2</w:t>
            </w:r>
          </w:p>
        </w:tc>
        <w:tc>
          <w:tcPr>
            <w:tcW w:w="4138" w:type="dxa"/>
            <w:noWrap w:val="0"/>
            <w:tcMar>
              <w:top w:w="15" w:type="dxa"/>
              <w:left w:w="15" w:type="dxa"/>
              <w:right w:w="15" w:type="dxa"/>
            </w:tcMar>
            <w:vAlign w:val="center"/>
          </w:tcPr>
          <w:p w14:paraId="2F82BD59">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全员劳动生产率增速（%）</w:t>
            </w:r>
          </w:p>
        </w:tc>
        <w:tc>
          <w:tcPr>
            <w:tcW w:w="948" w:type="dxa"/>
            <w:noWrap w:val="0"/>
            <w:tcMar>
              <w:top w:w="15" w:type="dxa"/>
              <w:left w:w="15" w:type="dxa"/>
              <w:right w:w="15" w:type="dxa"/>
            </w:tcMar>
            <w:vAlign w:val="center"/>
          </w:tcPr>
          <w:p w14:paraId="37367E1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7</w:t>
            </w:r>
          </w:p>
        </w:tc>
        <w:tc>
          <w:tcPr>
            <w:tcW w:w="949" w:type="dxa"/>
            <w:noWrap w:val="0"/>
            <w:tcMar>
              <w:top w:w="15" w:type="dxa"/>
              <w:left w:w="15" w:type="dxa"/>
              <w:right w:w="15" w:type="dxa"/>
            </w:tcMar>
            <w:vAlign w:val="center"/>
          </w:tcPr>
          <w:p w14:paraId="3353A9B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w:t>
            </w:r>
          </w:p>
        </w:tc>
        <w:tc>
          <w:tcPr>
            <w:tcW w:w="959" w:type="dxa"/>
            <w:noWrap w:val="0"/>
            <w:tcMar>
              <w:top w:w="15" w:type="dxa"/>
              <w:left w:w="15" w:type="dxa"/>
              <w:right w:w="15" w:type="dxa"/>
            </w:tcMar>
            <w:vAlign w:val="center"/>
          </w:tcPr>
          <w:p w14:paraId="390B869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7</w:t>
            </w:r>
          </w:p>
        </w:tc>
        <w:tc>
          <w:tcPr>
            <w:tcW w:w="785" w:type="dxa"/>
            <w:noWrap w:val="0"/>
            <w:tcMar>
              <w:top w:w="15" w:type="dxa"/>
              <w:left w:w="15" w:type="dxa"/>
              <w:right w:w="15" w:type="dxa"/>
            </w:tcMar>
            <w:vAlign w:val="center"/>
          </w:tcPr>
          <w:p w14:paraId="31A9B86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预期性</w:t>
            </w:r>
          </w:p>
        </w:tc>
      </w:tr>
      <w:tr w14:paraId="5C7C7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57146D8F">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rPr>
            </w:pPr>
          </w:p>
        </w:tc>
        <w:tc>
          <w:tcPr>
            <w:tcW w:w="715" w:type="dxa"/>
            <w:noWrap w:val="0"/>
            <w:tcMar>
              <w:top w:w="15" w:type="dxa"/>
              <w:left w:w="15" w:type="dxa"/>
              <w:right w:w="15" w:type="dxa"/>
            </w:tcMar>
            <w:vAlign w:val="center"/>
          </w:tcPr>
          <w:p w14:paraId="57A468A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3</w:t>
            </w:r>
          </w:p>
        </w:tc>
        <w:tc>
          <w:tcPr>
            <w:tcW w:w="4138" w:type="dxa"/>
            <w:noWrap w:val="0"/>
            <w:tcMar>
              <w:top w:w="15" w:type="dxa"/>
              <w:left w:w="15" w:type="dxa"/>
              <w:right w:w="15" w:type="dxa"/>
            </w:tcMar>
            <w:vAlign w:val="center"/>
          </w:tcPr>
          <w:p w14:paraId="25B2C89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eastAsia="zh-CN" w:bidi="ar"/>
              </w:rPr>
            </w:pPr>
            <w:r>
              <w:rPr>
                <w:rFonts w:hint="default" w:ascii="Times New Roman" w:hAnsi="Times New Roman" w:eastAsia="宋体" w:cs="Times New Roman"/>
                <w:b w:val="0"/>
                <w:i w:val="0"/>
                <w:color w:val="auto"/>
                <w:kern w:val="0"/>
                <w:sz w:val="23"/>
                <w:szCs w:val="23"/>
                <w:highlight w:val="none"/>
                <w:lang w:eastAsia="zh-CN" w:bidi="ar"/>
              </w:rPr>
              <w:t>规模以上工业增加值</w:t>
            </w:r>
            <w:r>
              <w:rPr>
                <w:rFonts w:hint="default" w:ascii="Times New Roman" w:hAnsi="Times New Roman" w:eastAsia="宋体" w:cs="Times New Roman"/>
                <w:b w:val="0"/>
                <w:i w:val="0"/>
                <w:color w:val="auto"/>
                <w:kern w:val="0"/>
                <w:sz w:val="23"/>
                <w:szCs w:val="23"/>
                <w:highlight w:val="none"/>
                <w:lang w:val="en-US" w:eastAsia="zh-CN" w:bidi="ar"/>
              </w:rPr>
              <w:t>增速（%）</w:t>
            </w:r>
          </w:p>
        </w:tc>
        <w:tc>
          <w:tcPr>
            <w:tcW w:w="948" w:type="dxa"/>
            <w:noWrap w:val="0"/>
            <w:tcMar>
              <w:top w:w="15" w:type="dxa"/>
              <w:left w:w="15" w:type="dxa"/>
              <w:right w:w="15" w:type="dxa"/>
            </w:tcMar>
            <w:vAlign w:val="center"/>
          </w:tcPr>
          <w:p w14:paraId="3479838F">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8</w:t>
            </w:r>
          </w:p>
        </w:tc>
        <w:tc>
          <w:tcPr>
            <w:tcW w:w="949" w:type="dxa"/>
            <w:noWrap w:val="0"/>
            <w:tcMar>
              <w:top w:w="15" w:type="dxa"/>
              <w:left w:w="15" w:type="dxa"/>
              <w:right w:w="15" w:type="dxa"/>
            </w:tcMar>
            <w:vAlign w:val="center"/>
          </w:tcPr>
          <w:p w14:paraId="16D9B2E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w:t>
            </w:r>
          </w:p>
        </w:tc>
        <w:tc>
          <w:tcPr>
            <w:tcW w:w="959" w:type="dxa"/>
            <w:noWrap w:val="0"/>
            <w:tcMar>
              <w:top w:w="15" w:type="dxa"/>
              <w:left w:w="15" w:type="dxa"/>
              <w:right w:w="15" w:type="dxa"/>
            </w:tcMar>
            <w:vAlign w:val="center"/>
          </w:tcPr>
          <w:p w14:paraId="5547874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8</w:t>
            </w:r>
          </w:p>
        </w:tc>
        <w:tc>
          <w:tcPr>
            <w:tcW w:w="785" w:type="dxa"/>
            <w:noWrap w:val="0"/>
            <w:tcMar>
              <w:top w:w="15" w:type="dxa"/>
              <w:left w:w="15" w:type="dxa"/>
              <w:right w:w="15" w:type="dxa"/>
            </w:tcMar>
            <w:vAlign w:val="center"/>
          </w:tcPr>
          <w:p w14:paraId="4FB3274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预期性</w:t>
            </w:r>
          </w:p>
        </w:tc>
      </w:tr>
      <w:tr w14:paraId="5FD2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475F96B0">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rPr>
            </w:pPr>
          </w:p>
        </w:tc>
        <w:tc>
          <w:tcPr>
            <w:tcW w:w="715" w:type="dxa"/>
            <w:noWrap w:val="0"/>
            <w:tcMar>
              <w:top w:w="15" w:type="dxa"/>
              <w:left w:w="15" w:type="dxa"/>
              <w:right w:w="15" w:type="dxa"/>
            </w:tcMar>
            <w:vAlign w:val="center"/>
          </w:tcPr>
          <w:p w14:paraId="04C8A18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4</w:t>
            </w:r>
          </w:p>
        </w:tc>
        <w:tc>
          <w:tcPr>
            <w:tcW w:w="4138" w:type="dxa"/>
            <w:noWrap w:val="0"/>
            <w:tcMar>
              <w:top w:w="15" w:type="dxa"/>
              <w:left w:w="15" w:type="dxa"/>
              <w:right w:w="15" w:type="dxa"/>
            </w:tcMar>
            <w:vAlign w:val="center"/>
          </w:tcPr>
          <w:p w14:paraId="3216297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bidi="ar"/>
              </w:rPr>
              <w:t>常住人口城镇化率（%）</w:t>
            </w:r>
          </w:p>
        </w:tc>
        <w:tc>
          <w:tcPr>
            <w:tcW w:w="948" w:type="dxa"/>
            <w:noWrap w:val="0"/>
            <w:tcMar>
              <w:top w:w="15" w:type="dxa"/>
              <w:left w:w="15" w:type="dxa"/>
              <w:right w:w="15" w:type="dxa"/>
            </w:tcMar>
            <w:vAlign w:val="center"/>
          </w:tcPr>
          <w:p w14:paraId="469C774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lang w:val="en-US" w:eastAsia="zh-CN"/>
              </w:rPr>
              <w:t>76.59</w:t>
            </w:r>
          </w:p>
        </w:tc>
        <w:tc>
          <w:tcPr>
            <w:tcW w:w="949" w:type="dxa"/>
            <w:noWrap w:val="0"/>
            <w:tcMar>
              <w:top w:w="15" w:type="dxa"/>
              <w:left w:w="15" w:type="dxa"/>
              <w:right w:w="15" w:type="dxa"/>
            </w:tcMar>
            <w:vAlign w:val="center"/>
          </w:tcPr>
          <w:p w14:paraId="52C0573F">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78</w:t>
            </w:r>
          </w:p>
        </w:tc>
        <w:tc>
          <w:tcPr>
            <w:tcW w:w="959" w:type="dxa"/>
            <w:noWrap w:val="0"/>
            <w:tcMar>
              <w:top w:w="15" w:type="dxa"/>
              <w:left w:w="15" w:type="dxa"/>
              <w:right w:w="15" w:type="dxa"/>
            </w:tcMar>
            <w:vAlign w:val="center"/>
          </w:tcPr>
          <w:p w14:paraId="3019FFF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6CA08409">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预期性</w:t>
            </w:r>
          </w:p>
        </w:tc>
      </w:tr>
      <w:tr w14:paraId="3046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093D7AA1">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rPr>
            </w:pPr>
          </w:p>
        </w:tc>
        <w:tc>
          <w:tcPr>
            <w:tcW w:w="715" w:type="dxa"/>
            <w:noWrap w:val="0"/>
            <w:tcMar>
              <w:top w:w="15" w:type="dxa"/>
              <w:left w:w="15" w:type="dxa"/>
              <w:right w:w="15" w:type="dxa"/>
            </w:tcMar>
            <w:vAlign w:val="center"/>
          </w:tcPr>
          <w:p w14:paraId="3942DA0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5</w:t>
            </w:r>
          </w:p>
        </w:tc>
        <w:tc>
          <w:tcPr>
            <w:tcW w:w="4138" w:type="dxa"/>
            <w:noWrap w:val="0"/>
            <w:tcMar>
              <w:top w:w="15" w:type="dxa"/>
              <w:left w:w="15" w:type="dxa"/>
              <w:right w:w="15" w:type="dxa"/>
            </w:tcMar>
            <w:vAlign w:val="center"/>
          </w:tcPr>
          <w:p w14:paraId="2908AA17">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居民人均消费支出增速（%）</w:t>
            </w:r>
          </w:p>
        </w:tc>
        <w:tc>
          <w:tcPr>
            <w:tcW w:w="948" w:type="dxa"/>
            <w:noWrap w:val="0"/>
            <w:tcMar>
              <w:top w:w="15" w:type="dxa"/>
              <w:left w:w="15" w:type="dxa"/>
              <w:right w:w="15" w:type="dxa"/>
            </w:tcMar>
            <w:vAlign w:val="center"/>
          </w:tcPr>
          <w:p w14:paraId="53FAB87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2"/>
                <w:sz w:val="23"/>
                <w:szCs w:val="23"/>
                <w:highlight w:val="none"/>
                <w:lang w:val="en-US" w:eastAsia="zh-CN" w:bidi="ar-SA"/>
              </w:rPr>
              <w:t>5.7</w:t>
            </w:r>
          </w:p>
        </w:tc>
        <w:tc>
          <w:tcPr>
            <w:tcW w:w="949" w:type="dxa"/>
            <w:noWrap w:val="0"/>
            <w:tcMar>
              <w:top w:w="15" w:type="dxa"/>
              <w:left w:w="15" w:type="dxa"/>
              <w:right w:w="15" w:type="dxa"/>
            </w:tcMar>
            <w:vAlign w:val="center"/>
          </w:tcPr>
          <w:p w14:paraId="6BF179C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w:t>
            </w:r>
          </w:p>
        </w:tc>
        <w:tc>
          <w:tcPr>
            <w:tcW w:w="959" w:type="dxa"/>
            <w:noWrap w:val="0"/>
            <w:tcMar>
              <w:top w:w="15" w:type="dxa"/>
              <w:left w:w="15" w:type="dxa"/>
              <w:right w:w="15" w:type="dxa"/>
            </w:tcMar>
            <w:vAlign w:val="center"/>
          </w:tcPr>
          <w:p w14:paraId="41B55F1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sz w:val="23"/>
                <w:szCs w:val="23"/>
                <w:lang w:val="en-US" w:eastAsia="zh-CN"/>
              </w:rPr>
              <w:t>5.5</w:t>
            </w:r>
          </w:p>
        </w:tc>
        <w:tc>
          <w:tcPr>
            <w:tcW w:w="785" w:type="dxa"/>
            <w:noWrap w:val="0"/>
            <w:tcMar>
              <w:top w:w="15" w:type="dxa"/>
              <w:left w:w="15" w:type="dxa"/>
              <w:right w:w="15" w:type="dxa"/>
            </w:tcMar>
            <w:vAlign w:val="center"/>
          </w:tcPr>
          <w:p w14:paraId="46B3522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预期性</w:t>
            </w:r>
          </w:p>
        </w:tc>
      </w:tr>
      <w:tr w14:paraId="7E70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12A94B4B">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rPr>
            </w:pPr>
          </w:p>
        </w:tc>
        <w:tc>
          <w:tcPr>
            <w:tcW w:w="715" w:type="dxa"/>
            <w:noWrap w:val="0"/>
            <w:tcMar>
              <w:top w:w="15" w:type="dxa"/>
              <w:left w:w="15" w:type="dxa"/>
              <w:right w:w="15" w:type="dxa"/>
            </w:tcMar>
            <w:vAlign w:val="center"/>
          </w:tcPr>
          <w:p w14:paraId="4777BF2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6</w:t>
            </w:r>
          </w:p>
        </w:tc>
        <w:tc>
          <w:tcPr>
            <w:tcW w:w="4138" w:type="dxa"/>
            <w:noWrap w:val="0"/>
            <w:tcMar>
              <w:top w:w="15" w:type="dxa"/>
              <w:left w:w="15" w:type="dxa"/>
              <w:right w:w="15" w:type="dxa"/>
            </w:tcMar>
            <w:vAlign w:val="center"/>
          </w:tcPr>
          <w:p w14:paraId="28A3E3A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0"/>
                <w:sz w:val="23"/>
                <w:szCs w:val="23"/>
                <w:highlight w:val="none"/>
                <w:lang w:bidi="ar"/>
              </w:rPr>
              <w:t>货物贸易进出口总额（亿元）</w:t>
            </w:r>
          </w:p>
        </w:tc>
        <w:tc>
          <w:tcPr>
            <w:tcW w:w="948" w:type="dxa"/>
            <w:noWrap w:val="0"/>
            <w:tcMar>
              <w:top w:w="15" w:type="dxa"/>
              <w:left w:w="15" w:type="dxa"/>
              <w:right w:w="15" w:type="dxa"/>
            </w:tcMar>
            <w:vAlign w:val="center"/>
          </w:tcPr>
          <w:p w14:paraId="433E840F">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lang w:val="en-US" w:eastAsia="zh-CN"/>
              </w:rPr>
              <w:t>4</w:t>
            </w:r>
          </w:p>
        </w:tc>
        <w:tc>
          <w:tcPr>
            <w:tcW w:w="949" w:type="dxa"/>
            <w:noWrap w:val="0"/>
            <w:tcMar>
              <w:top w:w="15" w:type="dxa"/>
              <w:left w:w="15" w:type="dxa"/>
              <w:right w:w="15" w:type="dxa"/>
            </w:tcMar>
            <w:vAlign w:val="center"/>
          </w:tcPr>
          <w:p w14:paraId="71E0887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lang w:val="en-US" w:eastAsia="zh-CN"/>
              </w:rPr>
              <w:t>5.1</w:t>
            </w:r>
          </w:p>
        </w:tc>
        <w:tc>
          <w:tcPr>
            <w:tcW w:w="959" w:type="dxa"/>
            <w:noWrap w:val="0"/>
            <w:tcMar>
              <w:top w:w="15" w:type="dxa"/>
              <w:left w:w="15" w:type="dxa"/>
              <w:right w:w="15" w:type="dxa"/>
            </w:tcMar>
            <w:vAlign w:val="center"/>
          </w:tcPr>
          <w:p w14:paraId="22264B5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lang w:val="en-US" w:eastAsia="zh-CN"/>
              </w:rPr>
              <w:t>5</w:t>
            </w:r>
            <w:r>
              <w:rPr>
                <w:rFonts w:hint="default" w:ascii="Times New Roman" w:hAnsi="Times New Roman" w:eastAsia="宋体" w:cs="Times New Roman"/>
                <w:b w:val="0"/>
                <w:i w:val="0"/>
                <w:color w:val="auto"/>
                <w:sz w:val="23"/>
                <w:szCs w:val="23"/>
                <w:highlight w:val="none"/>
              </w:rPr>
              <w:t>%</w:t>
            </w:r>
          </w:p>
        </w:tc>
        <w:tc>
          <w:tcPr>
            <w:tcW w:w="785" w:type="dxa"/>
            <w:noWrap w:val="0"/>
            <w:tcMar>
              <w:top w:w="15" w:type="dxa"/>
              <w:left w:w="15" w:type="dxa"/>
              <w:right w:w="15" w:type="dxa"/>
            </w:tcMar>
            <w:vAlign w:val="center"/>
          </w:tcPr>
          <w:p w14:paraId="51DC0AE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0"/>
                <w:sz w:val="23"/>
                <w:szCs w:val="23"/>
                <w:highlight w:val="none"/>
                <w:lang w:bidi="ar"/>
              </w:rPr>
              <w:t>预期性</w:t>
            </w:r>
          </w:p>
        </w:tc>
      </w:tr>
      <w:tr w14:paraId="3A0F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restart"/>
            <w:noWrap/>
            <w:tcMar>
              <w:top w:w="15" w:type="dxa"/>
              <w:left w:w="15" w:type="dxa"/>
              <w:right w:w="15" w:type="dxa"/>
            </w:tcMar>
            <w:vAlign w:val="center"/>
          </w:tcPr>
          <w:p w14:paraId="7A72EB6A">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r>
              <w:rPr>
                <w:rFonts w:hint="default" w:ascii="Times New Roman" w:hAnsi="Times New Roman" w:eastAsia="宋体" w:cs="Times New Roman"/>
                <w:b w:val="0"/>
                <w:i w:val="0"/>
                <w:color w:val="auto"/>
                <w:sz w:val="23"/>
                <w:szCs w:val="23"/>
                <w:highlight w:val="none"/>
                <w:lang w:val="en-US" w:eastAsia="zh-CN"/>
              </w:rPr>
              <w:t>创新驱动</w:t>
            </w:r>
          </w:p>
        </w:tc>
        <w:tc>
          <w:tcPr>
            <w:tcW w:w="715" w:type="dxa"/>
            <w:noWrap w:val="0"/>
            <w:tcMar>
              <w:top w:w="15" w:type="dxa"/>
              <w:left w:w="15" w:type="dxa"/>
              <w:right w:w="15" w:type="dxa"/>
            </w:tcMar>
            <w:vAlign w:val="center"/>
          </w:tcPr>
          <w:p w14:paraId="16A3C04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7</w:t>
            </w:r>
          </w:p>
        </w:tc>
        <w:tc>
          <w:tcPr>
            <w:tcW w:w="4138" w:type="dxa"/>
            <w:noWrap w:val="0"/>
            <w:tcMar>
              <w:top w:w="15" w:type="dxa"/>
              <w:left w:w="15" w:type="dxa"/>
              <w:right w:w="15" w:type="dxa"/>
            </w:tcMar>
            <w:vAlign w:val="center"/>
          </w:tcPr>
          <w:p w14:paraId="249CF6E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0"/>
                <w:sz w:val="23"/>
                <w:szCs w:val="23"/>
                <w:highlight w:val="none"/>
                <w:lang w:val="en-US" w:eastAsia="zh-CN" w:bidi="ar"/>
              </w:rPr>
              <w:t>全社会研发经费投入增速（%）</w:t>
            </w:r>
          </w:p>
        </w:tc>
        <w:tc>
          <w:tcPr>
            <w:tcW w:w="948" w:type="dxa"/>
            <w:noWrap w:val="0"/>
            <w:tcMar>
              <w:top w:w="15" w:type="dxa"/>
              <w:left w:w="15" w:type="dxa"/>
              <w:right w:w="15" w:type="dxa"/>
            </w:tcMar>
            <w:vAlign w:val="center"/>
          </w:tcPr>
          <w:p w14:paraId="546FF0F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2"/>
                <w:sz w:val="23"/>
                <w:szCs w:val="23"/>
                <w:highlight w:val="none"/>
                <w:lang w:val="en-US" w:eastAsia="zh-CN" w:bidi="ar-SA"/>
              </w:rPr>
              <w:t>-</w:t>
            </w:r>
          </w:p>
        </w:tc>
        <w:tc>
          <w:tcPr>
            <w:tcW w:w="949" w:type="dxa"/>
            <w:noWrap w:val="0"/>
            <w:tcMar>
              <w:top w:w="15" w:type="dxa"/>
              <w:left w:w="15" w:type="dxa"/>
              <w:right w:w="15" w:type="dxa"/>
            </w:tcMar>
            <w:vAlign w:val="center"/>
          </w:tcPr>
          <w:p w14:paraId="471FFCB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0"/>
                <w:sz w:val="23"/>
                <w:szCs w:val="23"/>
                <w:highlight w:val="none"/>
                <w:lang w:val="en-US" w:eastAsia="zh-CN" w:bidi="ar"/>
              </w:rPr>
              <w:t>-</w:t>
            </w:r>
          </w:p>
        </w:tc>
        <w:tc>
          <w:tcPr>
            <w:tcW w:w="959" w:type="dxa"/>
            <w:noWrap w:val="0"/>
            <w:tcMar>
              <w:top w:w="15" w:type="dxa"/>
              <w:left w:w="15" w:type="dxa"/>
              <w:right w:w="15" w:type="dxa"/>
            </w:tcMar>
            <w:vAlign w:val="center"/>
          </w:tcPr>
          <w:p w14:paraId="475190E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lang w:val="en-US" w:eastAsia="zh-CN"/>
              </w:rPr>
              <w:t>4</w:t>
            </w:r>
          </w:p>
        </w:tc>
        <w:tc>
          <w:tcPr>
            <w:tcW w:w="785" w:type="dxa"/>
            <w:noWrap w:val="0"/>
            <w:tcMar>
              <w:top w:w="15" w:type="dxa"/>
              <w:left w:w="15" w:type="dxa"/>
              <w:right w:w="15" w:type="dxa"/>
            </w:tcMar>
            <w:vAlign w:val="center"/>
          </w:tcPr>
          <w:p w14:paraId="2E2C11CE">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预期性</w:t>
            </w:r>
          </w:p>
        </w:tc>
      </w:tr>
      <w:tr w14:paraId="3E6C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19018E03">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p>
        </w:tc>
        <w:tc>
          <w:tcPr>
            <w:tcW w:w="715" w:type="dxa"/>
            <w:noWrap w:val="0"/>
            <w:tcMar>
              <w:top w:w="15" w:type="dxa"/>
              <w:left w:w="15" w:type="dxa"/>
              <w:right w:w="15" w:type="dxa"/>
            </w:tcMar>
            <w:vAlign w:val="center"/>
          </w:tcPr>
          <w:p w14:paraId="6E923B7E">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8</w:t>
            </w:r>
          </w:p>
        </w:tc>
        <w:tc>
          <w:tcPr>
            <w:tcW w:w="4138" w:type="dxa"/>
            <w:noWrap w:val="0"/>
            <w:tcMar>
              <w:top w:w="15" w:type="dxa"/>
              <w:left w:w="15" w:type="dxa"/>
              <w:right w:w="15" w:type="dxa"/>
            </w:tcMar>
            <w:vAlign w:val="center"/>
          </w:tcPr>
          <w:p w14:paraId="4FF1AEF7">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left"/>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0"/>
                <w:sz w:val="23"/>
                <w:szCs w:val="23"/>
                <w:highlight w:val="none"/>
                <w:lang w:val="en-US" w:eastAsia="zh-CN" w:bidi="ar"/>
              </w:rPr>
              <w:t>规模以上工业战略性新兴产业总产值占工业总产值比重</w:t>
            </w:r>
            <w:r>
              <w:rPr>
                <w:rFonts w:hint="default" w:ascii="Times New Roman" w:hAnsi="Times New Roman" w:eastAsia="宋体" w:cs="Times New Roman"/>
                <w:b w:val="0"/>
                <w:i w:val="0"/>
                <w:color w:val="auto"/>
                <w:kern w:val="0"/>
                <w:sz w:val="23"/>
                <w:szCs w:val="23"/>
                <w:highlight w:val="none"/>
                <w:lang w:bidi="ar"/>
              </w:rPr>
              <w:t>（%）</w:t>
            </w:r>
          </w:p>
        </w:tc>
        <w:tc>
          <w:tcPr>
            <w:tcW w:w="948" w:type="dxa"/>
            <w:noWrap w:val="0"/>
            <w:tcMar>
              <w:top w:w="15" w:type="dxa"/>
              <w:left w:w="15" w:type="dxa"/>
              <w:right w:w="15" w:type="dxa"/>
            </w:tcMar>
            <w:vAlign w:val="center"/>
          </w:tcPr>
          <w:p w14:paraId="19ECEF33">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lang w:val="en-US" w:eastAsia="zh-CN"/>
              </w:rPr>
              <w:t>28.5</w:t>
            </w:r>
          </w:p>
        </w:tc>
        <w:tc>
          <w:tcPr>
            <w:tcW w:w="949" w:type="dxa"/>
            <w:noWrap w:val="0"/>
            <w:tcMar>
              <w:top w:w="15" w:type="dxa"/>
              <w:left w:w="15" w:type="dxa"/>
              <w:right w:w="15" w:type="dxa"/>
            </w:tcMar>
            <w:vAlign w:val="center"/>
          </w:tcPr>
          <w:p w14:paraId="6D234FEF">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lang w:val="en-US" w:eastAsia="zh-CN"/>
              </w:rPr>
              <w:t>32</w:t>
            </w:r>
          </w:p>
        </w:tc>
        <w:tc>
          <w:tcPr>
            <w:tcW w:w="959" w:type="dxa"/>
            <w:noWrap w:val="0"/>
            <w:tcMar>
              <w:top w:w="15" w:type="dxa"/>
              <w:left w:w="15" w:type="dxa"/>
              <w:right w:w="15" w:type="dxa"/>
            </w:tcMar>
            <w:vAlign w:val="center"/>
          </w:tcPr>
          <w:p w14:paraId="3DA298A9">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7CE251EC">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0"/>
                <w:sz w:val="23"/>
                <w:szCs w:val="23"/>
                <w:highlight w:val="none"/>
                <w:lang w:bidi="ar"/>
              </w:rPr>
              <w:t>预期性</w:t>
            </w:r>
          </w:p>
        </w:tc>
      </w:tr>
      <w:tr w14:paraId="52D8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723C2EAE">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p>
        </w:tc>
        <w:tc>
          <w:tcPr>
            <w:tcW w:w="715" w:type="dxa"/>
            <w:noWrap w:val="0"/>
            <w:tcMar>
              <w:top w:w="15" w:type="dxa"/>
              <w:left w:w="15" w:type="dxa"/>
              <w:right w:w="15" w:type="dxa"/>
            </w:tcMar>
            <w:vAlign w:val="center"/>
          </w:tcPr>
          <w:p w14:paraId="493501B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9</w:t>
            </w:r>
          </w:p>
        </w:tc>
        <w:tc>
          <w:tcPr>
            <w:tcW w:w="4138" w:type="dxa"/>
            <w:noWrap w:val="0"/>
            <w:tcMar>
              <w:top w:w="15" w:type="dxa"/>
              <w:left w:w="15" w:type="dxa"/>
              <w:right w:w="15" w:type="dxa"/>
            </w:tcMar>
            <w:vAlign w:val="center"/>
          </w:tcPr>
          <w:p w14:paraId="29DE251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每万人口高价值发明专利拥有量（件）</w:t>
            </w:r>
          </w:p>
        </w:tc>
        <w:tc>
          <w:tcPr>
            <w:tcW w:w="948" w:type="dxa"/>
            <w:noWrap w:val="0"/>
            <w:tcMar>
              <w:top w:w="15" w:type="dxa"/>
              <w:left w:w="15" w:type="dxa"/>
              <w:right w:w="15" w:type="dxa"/>
            </w:tcMar>
            <w:vAlign w:val="center"/>
          </w:tcPr>
          <w:p w14:paraId="317B8D4F">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2.35</w:t>
            </w:r>
          </w:p>
        </w:tc>
        <w:tc>
          <w:tcPr>
            <w:tcW w:w="949" w:type="dxa"/>
            <w:noWrap w:val="0"/>
            <w:tcMar>
              <w:top w:w="15" w:type="dxa"/>
              <w:left w:w="15" w:type="dxa"/>
              <w:right w:w="15" w:type="dxa"/>
            </w:tcMar>
            <w:vAlign w:val="center"/>
          </w:tcPr>
          <w:p w14:paraId="7F7497A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3</w:t>
            </w:r>
          </w:p>
        </w:tc>
        <w:tc>
          <w:tcPr>
            <w:tcW w:w="959" w:type="dxa"/>
            <w:noWrap w:val="0"/>
            <w:tcMar>
              <w:top w:w="15" w:type="dxa"/>
              <w:left w:w="15" w:type="dxa"/>
              <w:right w:w="15" w:type="dxa"/>
            </w:tcMar>
            <w:vAlign w:val="center"/>
          </w:tcPr>
          <w:p w14:paraId="6E7C2A0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308A616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预期性</w:t>
            </w:r>
          </w:p>
        </w:tc>
      </w:tr>
      <w:tr w14:paraId="191A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16A21B8E">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p>
        </w:tc>
        <w:tc>
          <w:tcPr>
            <w:tcW w:w="715" w:type="dxa"/>
            <w:noWrap w:val="0"/>
            <w:tcMar>
              <w:top w:w="15" w:type="dxa"/>
              <w:left w:w="15" w:type="dxa"/>
              <w:right w:w="15" w:type="dxa"/>
            </w:tcMar>
            <w:vAlign w:val="center"/>
          </w:tcPr>
          <w:p w14:paraId="6F55268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10</w:t>
            </w:r>
          </w:p>
        </w:tc>
        <w:tc>
          <w:tcPr>
            <w:tcW w:w="4138" w:type="dxa"/>
            <w:noWrap w:val="0"/>
            <w:tcMar>
              <w:top w:w="15" w:type="dxa"/>
              <w:left w:w="15" w:type="dxa"/>
              <w:right w:w="15" w:type="dxa"/>
            </w:tcMar>
            <w:vAlign w:val="center"/>
          </w:tcPr>
          <w:p w14:paraId="72DEEDCA">
            <w:pPr>
              <w:keepNext w:val="0"/>
              <w:keepLines w:val="0"/>
              <w:pageBreakBefore w:val="0"/>
              <w:widowControl/>
              <w:kinsoku/>
              <w:wordWrap/>
              <w:overflowPunct/>
              <w:topLinePunct w:val="0"/>
              <w:autoSpaceDE/>
              <w:autoSpaceDN/>
              <w:bidi w:val="0"/>
              <w:adjustRightInd/>
              <w:snapToGrid w:val="0"/>
              <w:spacing w:line="3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bidi="ar"/>
              </w:rPr>
              <w:t>数字经济核心产业增加值占GDP比重</w:t>
            </w:r>
            <w:r>
              <w:rPr>
                <w:rFonts w:hint="default" w:ascii="Times New Roman" w:hAnsi="Times New Roman" w:eastAsia="宋体" w:cs="Times New Roman"/>
                <w:b w:val="0"/>
                <w:i w:val="0"/>
                <w:color w:val="auto"/>
                <w:kern w:val="0"/>
                <w:sz w:val="23"/>
                <w:szCs w:val="23"/>
                <w:highlight w:val="none"/>
                <w:lang w:eastAsia="zh-CN" w:bidi="ar"/>
              </w:rPr>
              <w:t>（</w:t>
            </w:r>
            <w:r>
              <w:rPr>
                <w:rFonts w:hint="default" w:ascii="Times New Roman" w:hAnsi="Times New Roman" w:eastAsia="宋体" w:cs="Times New Roman"/>
                <w:b w:val="0"/>
                <w:i w:val="0"/>
                <w:color w:val="auto"/>
                <w:kern w:val="0"/>
                <w:sz w:val="23"/>
                <w:szCs w:val="23"/>
                <w:highlight w:val="none"/>
                <w:lang w:val="en-US" w:eastAsia="zh-CN" w:bidi="ar"/>
              </w:rPr>
              <w:t>%</w:t>
            </w:r>
            <w:r>
              <w:rPr>
                <w:rFonts w:hint="default" w:ascii="Times New Roman" w:hAnsi="Times New Roman" w:eastAsia="宋体" w:cs="Times New Roman"/>
                <w:b w:val="0"/>
                <w:i w:val="0"/>
                <w:color w:val="auto"/>
                <w:kern w:val="0"/>
                <w:sz w:val="23"/>
                <w:szCs w:val="23"/>
                <w:highlight w:val="none"/>
                <w:lang w:eastAsia="zh-CN" w:bidi="ar"/>
              </w:rPr>
              <w:t>）</w:t>
            </w:r>
          </w:p>
        </w:tc>
        <w:tc>
          <w:tcPr>
            <w:tcW w:w="948" w:type="dxa"/>
            <w:noWrap w:val="0"/>
            <w:tcMar>
              <w:top w:w="15" w:type="dxa"/>
              <w:left w:w="15" w:type="dxa"/>
              <w:right w:w="15" w:type="dxa"/>
            </w:tcMar>
            <w:vAlign w:val="center"/>
          </w:tcPr>
          <w:p w14:paraId="20A1AB3F">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lang w:val="en-US" w:eastAsia="zh-CN"/>
              </w:rPr>
              <w:t>4.1</w:t>
            </w:r>
          </w:p>
        </w:tc>
        <w:tc>
          <w:tcPr>
            <w:tcW w:w="949" w:type="dxa"/>
            <w:noWrap w:val="0"/>
            <w:tcMar>
              <w:top w:w="15" w:type="dxa"/>
              <w:left w:w="15" w:type="dxa"/>
              <w:right w:w="15" w:type="dxa"/>
            </w:tcMar>
            <w:vAlign w:val="center"/>
          </w:tcPr>
          <w:p w14:paraId="4D96A42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5</w:t>
            </w:r>
          </w:p>
        </w:tc>
        <w:tc>
          <w:tcPr>
            <w:tcW w:w="959" w:type="dxa"/>
            <w:noWrap w:val="0"/>
            <w:tcMar>
              <w:top w:w="15" w:type="dxa"/>
              <w:left w:w="15" w:type="dxa"/>
              <w:right w:w="15" w:type="dxa"/>
            </w:tcMar>
            <w:vAlign w:val="center"/>
          </w:tcPr>
          <w:p w14:paraId="6557EF7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lang w:val="en-US" w:eastAsia="zh-CN" w:bidi="ar-SA"/>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66AF715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预期性</w:t>
            </w:r>
          </w:p>
        </w:tc>
      </w:tr>
      <w:tr w14:paraId="24B1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31A08916">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p>
        </w:tc>
        <w:tc>
          <w:tcPr>
            <w:tcW w:w="715" w:type="dxa"/>
            <w:noWrap w:val="0"/>
            <w:tcMar>
              <w:top w:w="15" w:type="dxa"/>
              <w:left w:w="15" w:type="dxa"/>
              <w:right w:w="15" w:type="dxa"/>
            </w:tcMar>
            <w:vAlign w:val="center"/>
          </w:tcPr>
          <w:p w14:paraId="2ECACBA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11</w:t>
            </w:r>
          </w:p>
        </w:tc>
        <w:tc>
          <w:tcPr>
            <w:tcW w:w="4138" w:type="dxa"/>
            <w:noWrap w:val="0"/>
            <w:tcMar>
              <w:top w:w="15" w:type="dxa"/>
              <w:left w:w="15" w:type="dxa"/>
              <w:right w:w="15" w:type="dxa"/>
            </w:tcMar>
            <w:vAlign w:val="center"/>
          </w:tcPr>
          <w:p w14:paraId="252F86E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高新技术企业数量（家）</w:t>
            </w:r>
          </w:p>
        </w:tc>
        <w:tc>
          <w:tcPr>
            <w:tcW w:w="948" w:type="dxa"/>
            <w:noWrap w:val="0"/>
            <w:tcMar>
              <w:top w:w="15" w:type="dxa"/>
              <w:left w:w="15" w:type="dxa"/>
              <w:right w:w="15" w:type="dxa"/>
            </w:tcMar>
            <w:vAlign w:val="center"/>
          </w:tcPr>
          <w:p w14:paraId="69AB0A8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109</w:t>
            </w:r>
          </w:p>
        </w:tc>
        <w:tc>
          <w:tcPr>
            <w:tcW w:w="949" w:type="dxa"/>
            <w:noWrap w:val="0"/>
            <w:tcMar>
              <w:top w:w="15" w:type="dxa"/>
              <w:left w:w="15" w:type="dxa"/>
              <w:right w:w="15" w:type="dxa"/>
            </w:tcMar>
            <w:vAlign w:val="center"/>
          </w:tcPr>
          <w:p w14:paraId="41B563F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135</w:t>
            </w:r>
          </w:p>
        </w:tc>
        <w:tc>
          <w:tcPr>
            <w:tcW w:w="959" w:type="dxa"/>
            <w:noWrap w:val="0"/>
            <w:tcMar>
              <w:top w:w="15" w:type="dxa"/>
              <w:left w:w="15" w:type="dxa"/>
              <w:right w:w="15" w:type="dxa"/>
            </w:tcMar>
            <w:vAlign w:val="center"/>
          </w:tcPr>
          <w:p w14:paraId="66D51D1F">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06A5519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预期性</w:t>
            </w:r>
          </w:p>
        </w:tc>
      </w:tr>
      <w:tr w14:paraId="3668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restart"/>
            <w:noWrap w:val="0"/>
            <w:tcMar>
              <w:top w:w="15" w:type="dxa"/>
              <w:left w:w="15" w:type="dxa"/>
              <w:right w:w="15" w:type="dxa"/>
            </w:tcMar>
            <w:vAlign w:val="center"/>
          </w:tcPr>
          <w:p w14:paraId="7982BC3D">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r>
              <w:rPr>
                <w:rFonts w:hint="default" w:ascii="Times New Roman" w:hAnsi="Times New Roman" w:eastAsia="宋体" w:cs="Times New Roman"/>
                <w:b w:val="0"/>
                <w:i w:val="0"/>
                <w:color w:val="auto"/>
                <w:kern w:val="0"/>
                <w:sz w:val="23"/>
                <w:szCs w:val="23"/>
                <w:highlight w:val="none"/>
                <w:lang w:val="en-US" w:eastAsia="zh-CN" w:bidi="ar"/>
              </w:rPr>
              <w:t>民生福祉</w:t>
            </w:r>
          </w:p>
        </w:tc>
        <w:tc>
          <w:tcPr>
            <w:tcW w:w="715" w:type="dxa"/>
            <w:noWrap w:val="0"/>
            <w:tcMar>
              <w:top w:w="15" w:type="dxa"/>
              <w:left w:w="15" w:type="dxa"/>
              <w:right w:w="15" w:type="dxa"/>
            </w:tcMar>
            <w:vAlign w:val="center"/>
          </w:tcPr>
          <w:p w14:paraId="17C278B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12</w:t>
            </w:r>
          </w:p>
        </w:tc>
        <w:tc>
          <w:tcPr>
            <w:tcW w:w="4138" w:type="dxa"/>
            <w:noWrap w:val="0"/>
            <w:tcMar>
              <w:top w:w="15" w:type="dxa"/>
              <w:left w:w="15" w:type="dxa"/>
              <w:right w:w="15" w:type="dxa"/>
            </w:tcMar>
            <w:vAlign w:val="center"/>
          </w:tcPr>
          <w:p w14:paraId="0A747AB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bidi="ar"/>
              </w:rPr>
              <w:t>城镇</w:t>
            </w:r>
            <w:r>
              <w:rPr>
                <w:rFonts w:hint="default" w:ascii="Times New Roman" w:hAnsi="Times New Roman" w:eastAsia="宋体" w:cs="Times New Roman"/>
                <w:b w:val="0"/>
                <w:i w:val="0"/>
                <w:color w:val="auto"/>
                <w:kern w:val="0"/>
                <w:sz w:val="23"/>
                <w:szCs w:val="23"/>
                <w:highlight w:val="none"/>
                <w:lang w:val="en-US" w:eastAsia="zh-CN" w:bidi="ar"/>
              </w:rPr>
              <w:t>新增就业人数</w:t>
            </w:r>
            <w:r>
              <w:rPr>
                <w:rFonts w:hint="default" w:ascii="Times New Roman" w:hAnsi="Times New Roman" w:eastAsia="宋体" w:cs="Times New Roman"/>
                <w:b w:val="0"/>
                <w:i w:val="0"/>
                <w:color w:val="auto"/>
                <w:kern w:val="0"/>
                <w:sz w:val="23"/>
                <w:szCs w:val="23"/>
                <w:highlight w:val="none"/>
                <w:lang w:bidi="ar"/>
              </w:rPr>
              <w:t>（</w:t>
            </w:r>
            <w:r>
              <w:rPr>
                <w:rFonts w:hint="default" w:ascii="Times New Roman" w:hAnsi="Times New Roman" w:eastAsia="宋体" w:cs="Times New Roman"/>
                <w:b w:val="0"/>
                <w:i w:val="0"/>
                <w:color w:val="auto"/>
                <w:kern w:val="0"/>
                <w:sz w:val="23"/>
                <w:szCs w:val="23"/>
                <w:highlight w:val="none"/>
                <w:lang w:val="en-US" w:eastAsia="zh-CN" w:bidi="ar"/>
              </w:rPr>
              <w:t>万人</w:t>
            </w:r>
            <w:r>
              <w:rPr>
                <w:rFonts w:hint="default" w:ascii="Times New Roman" w:hAnsi="Times New Roman" w:eastAsia="宋体" w:cs="Times New Roman"/>
                <w:b w:val="0"/>
                <w:i w:val="0"/>
                <w:color w:val="auto"/>
                <w:kern w:val="0"/>
                <w:sz w:val="23"/>
                <w:szCs w:val="23"/>
                <w:highlight w:val="none"/>
                <w:lang w:bidi="ar"/>
              </w:rPr>
              <w:t>）</w:t>
            </w:r>
          </w:p>
        </w:tc>
        <w:tc>
          <w:tcPr>
            <w:tcW w:w="948" w:type="dxa"/>
            <w:noWrap w:val="0"/>
            <w:tcMar>
              <w:top w:w="15" w:type="dxa"/>
              <w:left w:w="15" w:type="dxa"/>
              <w:right w:w="15" w:type="dxa"/>
            </w:tcMar>
            <w:vAlign w:val="center"/>
          </w:tcPr>
          <w:p w14:paraId="0810B64F">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rtl w:val="0"/>
                <w:lang w:val="en-US" w:eastAsia="zh-CN"/>
              </w:rPr>
              <w:t>1</w:t>
            </w:r>
          </w:p>
        </w:tc>
        <w:tc>
          <w:tcPr>
            <w:tcW w:w="949" w:type="dxa"/>
            <w:noWrap w:val="0"/>
            <w:tcMar>
              <w:top w:w="15" w:type="dxa"/>
              <w:left w:w="15" w:type="dxa"/>
              <w:right w:w="15" w:type="dxa"/>
            </w:tcMar>
            <w:vAlign w:val="center"/>
          </w:tcPr>
          <w:p w14:paraId="50A460C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lang w:val="en-US" w:eastAsia="zh-CN"/>
              </w:rPr>
              <w:t>[5]</w:t>
            </w:r>
          </w:p>
        </w:tc>
        <w:tc>
          <w:tcPr>
            <w:tcW w:w="959" w:type="dxa"/>
            <w:noWrap w:val="0"/>
            <w:tcMar>
              <w:top w:w="15" w:type="dxa"/>
              <w:left w:w="15" w:type="dxa"/>
              <w:right w:w="15" w:type="dxa"/>
            </w:tcMar>
            <w:vAlign w:val="center"/>
          </w:tcPr>
          <w:p w14:paraId="2419E1D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1D06C94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bidi="ar"/>
              </w:rPr>
              <w:t>预期性</w:t>
            </w:r>
          </w:p>
        </w:tc>
      </w:tr>
      <w:tr w14:paraId="1EBC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val="0"/>
            <w:tcMar>
              <w:top w:w="15" w:type="dxa"/>
              <w:left w:w="15" w:type="dxa"/>
              <w:right w:w="15" w:type="dxa"/>
            </w:tcMar>
            <w:vAlign w:val="center"/>
          </w:tcPr>
          <w:p w14:paraId="7A4AC9FA">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p>
        </w:tc>
        <w:tc>
          <w:tcPr>
            <w:tcW w:w="715" w:type="dxa"/>
            <w:noWrap w:val="0"/>
            <w:tcMar>
              <w:top w:w="15" w:type="dxa"/>
              <w:left w:w="15" w:type="dxa"/>
              <w:right w:w="15" w:type="dxa"/>
            </w:tcMar>
            <w:vAlign w:val="center"/>
          </w:tcPr>
          <w:p w14:paraId="2FCA2A9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13</w:t>
            </w:r>
          </w:p>
        </w:tc>
        <w:tc>
          <w:tcPr>
            <w:tcW w:w="4138" w:type="dxa"/>
            <w:noWrap w:val="0"/>
            <w:tcMar>
              <w:top w:w="15" w:type="dxa"/>
              <w:left w:w="15" w:type="dxa"/>
              <w:right w:w="15" w:type="dxa"/>
            </w:tcMar>
            <w:vAlign w:val="center"/>
          </w:tcPr>
          <w:p w14:paraId="5A81657E">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sz w:val="23"/>
                <w:szCs w:val="23"/>
                <w:highlight w:val="none"/>
              </w:rPr>
            </w:pPr>
            <w:r>
              <w:rPr>
                <w:rFonts w:hint="default" w:ascii="Times New Roman" w:hAnsi="Times New Roman" w:eastAsia="宋体" w:cs="Times New Roman"/>
                <w:b w:val="0"/>
                <w:i w:val="0"/>
                <w:color w:val="auto"/>
                <w:kern w:val="0"/>
                <w:sz w:val="23"/>
                <w:szCs w:val="23"/>
                <w:highlight w:val="none"/>
                <w:lang w:bidi="ar"/>
              </w:rPr>
              <w:t>居民人均可支配收入</w:t>
            </w:r>
            <w:r>
              <w:rPr>
                <w:rFonts w:hint="default" w:ascii="Times New Roman" w:hAnsi="Times New Roman" w:eastAsia="宋体" w:cs="Times New Roman"/>
                <w:b w:val="0"/>
                <w:i w:val="0"/>
                <w:color w:val="auto"/>
                <w:sz w:val="23"/>
                <w:szCs w:val="23"/>
                <w:highlight w:val="none"/>
                <w:lang w:bidi="ar"/>
              </w:rPr>
              <w:t>（元）</w:t>
            </w:r>
          </w:p>
        </w:tc>
        <w:tc>
          <w:tcPr>
            <w:tcW w:w="948" w:type="dxa"/>
            <w:noWrap w:val="0"/>
            <w:tcMar>
              <w:top w:w="15" w:type="dxa"/>
              <w:left w:w="15" w:type="dxa"/>
              <w:right w:w="15" w:type="dxa"/>
            </w:tcMar>
            <w:vAlign w:val="center"/>
          </w:tcPr>
          <w:p w14:paraId="7780F98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2"/>
                <w:sz w:val="23"/>
                <w:szCs w:val="23"/>
                <w:highlight w:val="none"/>
                <w:lang w:val="en-US" w:eastAsia="zh-CN" w:bidi="ar-SA"/>
              </w:rPr>
              <w:t>38614</w:t>
            </w:r>
          </w:p>
        </w:tc>
        <w:tc>
          <w:tcPr>
            <w:tcW w:w="949" w:type="dxa"/>
            <w:noWrap w:val="0"/>
            <w:tcMar>
              <w:top w:w="15" w:type="dxa"/>
              <w:left w:w="15" w:type="dxa"/>
              <w:right w:w="15" w:type="dxa"/>
            </w:tcMar>
            <w:vAlign w:val="center"/>
          </w:tcPr>
          <w:p w14:paraId="3FAB6436">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2"/>
                <w:sz w:val="23"/>
                <w:szCs w:val="23"/>
                <w:highlight w:val="none"/>
                <w:lang w:val="en-US" w:eastAsia="zh-CN" w:bidi="ar-SA"/>
              </w:rPr>
              <w:t>52900</w:t>
            </w:r>
          </w:p>
        </w:tc>
        <w:tc>
          <w:tcPr>
            <w:tcW w:w="959" w:type="dxa"/>
            <w:noWrap w:val="0"/>
            <w:tcMar>
              <w:top w:w="15" w:type="dxa"/>
              <w:left w:w="15" w:type="dxa"/>
              <w:right w:w="15" w:type="dxa"/>
            </w:tcMar>
            <w:vAlign w:val="center"/>
          </w:tcPr>
          <w:p w14:paraId="79C17C2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rPr>
            </w:pPr>
            <w:r>
              <w:rPr>
                <w:rFonts w:hint="default" w:ascii="Times New Roman" w:hAnsi="Times New Roman" w:eastAsia="宋体" w:cs="Times New Roman"/>
                <w:b w:val="0"/>
                <w:i w:val="0"/>
                <w:color w:val="auto"/>
                <w:sz w:val="23"/>
                <w:szCs w:val="23"/>
                <w:highlight w:val="none"/>
                <w:lang w:val="en-US" w:eastAsia="zh-CN"/>
              </w:rPr>
              <w:t>6.5</w:t>
            </w:r>
            <w:r>
              <w:rPr>
                <w:rFonts w:hint="default" w:ascii="Times New Roman" w:hAnsi="Times New Roman" w:eastAsia="宋体" w:cs="Times New Roman"/>
                <w:b w:val="0"/>
                <w:i w:val="0"/>
                <w:color w:val="auto"/>
                <w:sz w:val="23"/>
                <w:szCs w:val="23"/>
                <w:highlight w:val="none"/>
              </w:rPr>
              <w:t>%</w:t>
            </w:r>
          </w:p>
        </w:tc>
        <w:tc>
          <w:tcPr>
            <w:tcW w:w="785" w:type="dxa"/>
            <w:noWrap w:val="0"/>
            <w:tcMar>
              <w:top w:w="15" w:type="dxa"/>
              <w:left w:w="15" w:type="dxa"/>
              <w:right w:w="15" w:type="dxa"/>
            </w:tcMar>
            <w:vAlign w:val="center"/>
          </w:tcPr>
          <w:p w14:paraId="3EB4373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rPr>
            </w:pPr>
            <w:r>
              <w:rPr>
                <w:rFonts w:hint="default" w:ascii="Times New Roman" w:hAnsi="Times New Roman" w:eastAsia="宋体" w:cs="Times New Roman"/>
                <w:b w:val="0"/>
                <w:i w:val="0"/>
                <w:color w:val="auto"/>
                <w:sz w:val="23"/>
                <w:szCs w:val="23"/>
                <w:highlight w:val="none"/>
              </w:rPr>
              <w:t>预期性</w:t>
            </w:r>
          </w:p>
        </w:tc>
      </w:tr>
      <w:tr w14:paraId="3B3A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val="0"/>
            <w:tcMar>
              <w:top w:w="15" w:type="dxa"/>
              <w:left w:w="15" w:type="dxa"/>
              <w:right w:w="15" w:type="dxa"/>
            </w:tcMar>
            <w:vAlign w:val="center"/>
          </w:tcPr>
          <w:p w14:paraId="75A26F79">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bidi="ar"/>
              </w:rPr>
            </w:pPr>
          </w:p>
        </w:tc>
        <w:tc>
          <w:tcPr>
            <w:tcW w:w="715" w:type="dxa"/>
            <w:noWrap w:val="0"/>
            <w:tcMar>
              <w:top w:w="15" w:type="dxa"/>
              <w:left w:w="15" w:type="dxa"/>
              <w:right w:w="15" w:type="dxa"/>
            </w:tcMar>
            <w:vAlign w:val="center"/>
          </w:tcPr>
          <w:p w14:paraId="57FAFC79">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14</w:t>
            </w:r>
          </w:p>
        </w:tc>
        <w:tc>
          <w:tcPr>
            <w:tcW w:w="4138" w:type="dxa"/>
            <w:noWrap w:val="0"/>
            <w:tcMar>
              <w:top w:w="15" w:type="dxa"/>
              <w:left w:w="15" w:type="dxa"/>
              <w:right w:w="15" w:type="dxa"/>
            </w:tcMar>
            <w:vAlign w:val="center"/>
          </w:tcPr>
          <w:p w14:paraId="4EBFF25E">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rPr>
              <w:t>劳动年龄人口平均受教育年限（年）</w:t>
            </w:r>
          </w:p>
        </w:tc>
        <w:tc>
          <w:tcPr>
            <w:tcW w:w="948" w:type="dxa"/>
            <w:noWrap w:val="0"/>
            <w:tcMar>
              <w:top w:w="15" w:type="dxa"/>
              <w:left w:w="15" w:type="dxa"/>
              <w:right w:w="15" w:type="dxa"/>
            </w:tcMar>
            <w:vAlign w:val="center"/>
          </w:tcPr>
          <w:p w14:paraId="6C8D81E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2"/>
                <w:sz w:val="23"/>
                <w:szCs w:val="23"/>
                <w:highlight w:val="none"/>
                <w:lang w:val="en-US" w:eastAsia="zh-CN" w:bidi="ar-SA"/>
              </w:rPr>
              <w:t>14.2</w:t>
            </w:r>
          </w:p>
        </w:tc>
        <w:tc>
          <w:tcPr>
            <w:tcW w:w="949" w:type="dxa"/>
            <w:noWrap w:val="0"/>
            <w:tcMar>
              <w:top w:w="15" w:type="dxa"/>
              <w:left w:w="15" w:type="dxa"/>
              <w:right w:w="15" w:type="dxa"/>
            </w:tcMar>
            <w:vAlign w:val="center"/>
          </w:tcPr>
          <w:p w14:paraId="6273846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2"/>
                <w:sz w:val="23"/>
                <w:szCs w:val="23"/>
                <w:highlight w:val="none"/>
                <w:lang w:val="en-US" w:eastAsia="zh-CN" w:bidi="ar-SA"/>
              </w:rPr>
              <w:t>15</w:t>
            </w:r>
          </w:p>
        </w:tc>
        <w:tc>
          <w:tcPr>
            <w:tcW w:w="959" w:type="dxa"/>
            <w:noWrap w:val="0"/>
            <w:tcMar>
              <w:top w:w="15" w:type="dxa"/>
              <w:left w:w="15" w:type="dxa"/>
              <w:right w:w="15" w:type="dxa"/>
            </w:tcMar>
            <w:vAlign w:val="center"/>
          </w:tcPr>
          <w:p w14:paraId="44A32F0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7DB4EBD7">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lang w:val="en-US" w:eastAsia="zh-CN"/>
              </w:rPr>
              <w:t>约束性</w:t>
            </w:r>
          </w:p>
        </w:tc>
      </w:tr>
      <w:tr w14:paraId="16CC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val="0"/>
            <w:tcMar>
              <w:top w:w="15" w:type="dxa"/>
              <w:left w:w="15" w:type="dxa"/>
              <w:right w:w="15" w:type="dxa"/>
            </w:tcMar>
            <w:vAlign w:val="center"/>
          </w:tcPr>
          <w:p w14:paraId="4F53E3A6">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bidi="ar"/>
              </w:rPr>
            </w:pPr>
          </w:p>
        </w:tc>
        <w:tc>
          <w:tcPr>
            <w:tcW w:w="715" w:type="dxa"/>
            <w:noWrap w:val="0"/>
            <w:tcMar>
              <w:top w:w="15" w:type="dxa"/>
              <w:left w:w="15" w:type="dxa"/>
              <w:right w:w="15" w:type="dxa"/>
            </w:tcMar>
            <w:vAlign w:val="center"/>
          </w:tcPr>
          <w:p w14:paraId="66D645E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15</w:t>
            </w:r>
          </w:p>
        </w:tc>
        <w:tc>
          <w:tcPr>
            <w:tcW w:w="4138" w:type="dxa"/>
            <w:noWrap w:val="0"/>
            <w:tcMar>
              <w:top w:w="15" w:type="dxa"/>
              <w:left w:w="15" w:type="dxa"/>
              <w:right w:w="15" w:type="dxa"/>
            </w:tcMar>
            <w:vAlign w:val="center"/>
          </w:tcPr>
          <w:p w14:paraId="3AE074C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每千人拥有医护人员数（人）</w:t>
            </w:r>
          </w:p>
        </w:tc>
        <w:tc>
          <w:tcPr>
            <w:tcW w:w="948" w:type="dxa"/>
            <w:noWrap w:val="0"/>
            <w:tcMar>
              <w:top w:w="15" w:type="dxa"/>
              <w:left w:w="15" w:type="dxa"/>
              <w:right w:w="15" w:type="dxa"/>
            </w:tcMar>
            <w:vAlign w:val="center"/>
          </w:tcPr>
          <w:p w14:paraId="42EC62C7">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4.8</w:t>
            </w:r>
          </w:p>
        </w:tc>
        <w:tc>
          <w:tcPr>
            <w:tcW w:w="949" w:type="dxa"/>
            <w:noWrap w:val="0"/>
            <w:tcMar>
              <w:top w:w="15" w:type="dxa"/>
              <w:left w:w="15" w:type="dxa"/>
              <w:right w:w="15" w:type="dxa"/>
            </w:tcMar>
            <w:vAlign w:val="center"/>
          </w:tcPr>
          <w:p w14:paraId="3C112CD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5.5</w:t>
            </w:r>
          </w:p>
        </w:tc>
        <w:tc>
          <w:tcPr>
            <w:tcW w:w="959" w:type="dxa"/>
            <w:noWrap w:val="0"/>
            <w:tcMar>
              <w:top w:w="15" w:type="dxa"/>
              <w:left w:w="15" w:type="dxa"/>
              <w:right w:w="15" w:type="dxa"/>
            </w:tcMar>
            <w:vAlign w:val="center"/>
          </w:tcPr>
          <w:p w14:paraId="50E17B2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0CDF057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预期性</w:t>
            </w:r>
          </w:p>
        </w:tc>
      </w:tr>
      <w:tr w14:paraId="7519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val="0"/>
            <w:tcMar>
              <w:top w:w="15" w:type="dxa"/>
              <w:left w:w="15" w:type="dxa"/>
              <w:right w:w="15" w:type="dxa"/>
            </w:tcMar>
            <w:vAlign w:val="center"/>
          </w:tcPr>
          <w:p w14:paraId="7E98FD2F">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bidi="ar"/>
              </w:rPr>
            </w:pPr>
          </w:p>
        </w:tc>
        <w:tc>
          <w:tcPr>
            <w:tcW w:w="715" w:type="dxa"/>
            <w:noWrap w:val="0"/>
            <w:tcMar>
              <w:top w:w="15" w:type="dxa"/>
              <w:left w:w="15" w:type="dxa"/>
              <w:right w:w="15" w:type="dxa"/>
            </w:tcMar>
            <w:vAlign w:val="center"/>
          </w:tcPr>
          <w:p w14:paraId="5FEA845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16</w:t>
            </w:r>
          </w:p>
        </w:tc>
        <w:tc>
          <w:tcPr>
            <w:tcW w:w="4138" w:type="dxa"/>
            <w:noWrap w:val="0"/>
            <w:tcMar>
              <w:top w:w="15" w:type="dxa"/>
              <w:left w:w="15" w:type="dxa"/>
              <w:right w:w="15" w:type="dxa"/>
            </w:tcMar>
            <w:vAlign w:val="center"/>
          </w:tcPr>
          <w:p w14:paraId="6668C21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lang w:val="en-US" w:eastAsia="zh-CN"/>
              </w:rPr>
              <w:t>养老机构护理型床位占比</w:t>
            </w:r>
            <w:r>
              <w:rPr>
                <w:rFonts w:hint="default" w:ascii="Times New Roman" w:hAnsi="Times New Roman" w:eastAsia="宋体" w:cs="Times New Roman"/>
                <w:b w:val="0"/>
                <w:i w:val="0"/>
                <w:color w:val="auto"/>
                <w:sz w:val="23"/>
                <w:szCs w:val="23"/>
                <w:highlight w:val="none"/>
              </w:rPr>
              <w:t>（</w:t>
            </w:r>
            <w:r>
              <w:rPr>
                <w:rFonts w:hint="default" w:ascii="Times New Roman" w:hAnsi="Times New Roman" w:eastAsia="宋体" w:cs="Times New Roman"/>
                <w:b w:val="0"/>
                <w:i w:val="0"/>
                <w:color w:val="auto"/>
                <w:sz w:val="23"/>
                <w:szCs w:val="23"/>
                <w:highlight w:val="none"/>
                <w:lang w:val="en-US" w:eastAsia="zh-CN"/>
              </w:rPr>
              <w:t>%</w:t>
            </w:r>
            <w:r>
              <w:rPr>
                <w:rFonts w:hint="default" w:ascii="Times New Roman" w:hAnsi="Times New Roman" w:eastAsia="宋体" w:cs="Times New Roman"/>
                <w:b w:val="0"/>
                <w:i w:val="0"/>
                <w:color w:val="auto"/>
                <w:sz w:val="23"/>
                <w:szCs w:val="23"/>
                <w:highlight w:val="none"/>
              </w:rPr>
              <w:t>）</w:t>
            </w:r>
          </w:p>
        </w:tc>
        <w:tc>
          <w:tcPr>
            <w:tcW w:w="948" w:type="dxa"/>
            <w:noWrap w:val="0"/>
            <w:tcMar>
              <w:top w:w="15" w:type="dxa"/>
              <w:left w:w="15" w:type="dxa"/>
              <w:right w:w="15" w:type="dxa"/>
            </w:tcMar>
            <w:vAlign w:val="center"/>
          </w:tcPr>
          <w:p w14:paraId="4CED011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lang w:val="en-US" w:eastAsia="zh-CN"/>
              </w:rPr>
              <w:t>54.18</w:t>
            </w:r>
          </w:p>
        </w:tc>
        <w:tc>
          <w:tcPr>
            <w:tcW w:w="949" w:type="dxa"/>
            <w:noWrap w:val="0"/>
            <w:tcMar>
              <w:top w:w="15" w:type="dxa"/>
              <w:left w:w="15" w:type="dxa"/>
              <w:right w:w="15" w:type="dxa"/>
            </w:tcMar>
            <w:vAlign w:val="center"/>
          </w:tcPr>
          <w:p w14:paraId="69596E17">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rtl w:val="0"/>
                <w:lang w:val="en-US" w:eastAsia="zh-CN"/>
              </w:rPr>
              <w:t>≥</w:t>
            </w:r>
            <w:r>
              <w:rPr>
                <w:rFonts w:hint="default" w:ascii="Times New Roman" w:hAnsi="Times New Roman" w:eastAsia="宋体" w:cs="Times New Roman"/>
                <w:b w:val="0"/>
                <w:i w:val="0"/>
                <w:color w:val="auto"/>
                <w:kern w:val="0"/>
                <w:sz w:val="23"/>
                <w:szCs w:val="23"/>
                <w:highlight w:val="none"/>
                <w:rtl w:val="0"/>
                <w:lang w:val="en-US" w:eastAsia="zh-CN"/>
              </w:rPr>
              <w:t>70</w:t>
            </w:r>
          </w:p>
        </w:tc>
        <w:tc>
          <w:tcPr>
            <w:tcW w:w="959" w:type="dxa"/>
            <w:noWrap w:val="0"/>
            <w:tcMar>
              <w:top w:w="15" w:type="dxa"/>
              <w:left w:w="15" w:type="dxa"/>
              <w:right w:w="15" w:type="dxa"/>
            </w:tcMar>
            <w:vAlign w:val="center"/>
          </w:tcPr>
          <w:p w14:paraId="5C1B857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55F0D33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预期性</w:t>
            </w:r>
          </w:p>
        </w:tc>
      </w:tr>
      <w:tr w14:paraId="0A8E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val="0"/>
            <w:tcMar>
              <w:top w:w="15" w:type="dxa"/>
              <w:left w:w="15" w:type="dxa"/>
              <w:right w:w="15" w:type="dxa"/>
            </w:tcMar>
            <w:vAlign w:val="center"/>
          </w:tcPr>
          <w:p w14:paraId="773FC874">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bidi="ar"/>
              </w:rPr>
            </w:pPr>
          </w:p>
        </w:tc>
        <w:tc>
          <w:tcPr>
            <w:tcW w:w="715" w:type="dxa"/>
            <w:noWrap w:val="0"/>
            <w:tcMar>
              <w:top w:w="15" w:type="dxa"/>
              <w:left w:w="15" w:type="dxa"/>
              <w:right w:w="15" w:type="dxa"/>
            </w:tcMar>
            <w:vAlign w:val="center"/>
          </w:tcPr>
          <w:p w14:paraId="5294AA7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17</w:t>
            </w:r>
          </w:p>
        </w:tc>
        <w:tc>
          <w:tcPr>
            <w:tcW w:w="4138" w:type="dxa"/>
            <w:noWrap w:val="0"/>
            <w:tcMar>
              <w:top w:w="15" w:type="dxa"/>
              <w:left w:w="15" w:type="dxa"/>
              <w:right w:w="15" w:type="dxa"/>
            </w:tcMar>
            <w:vAlign w:val="center"/>
          </w:tcPr>
          <w:p w14:paraId="2CA6537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3岁以下婴幼儿入托率（%）</w:t>
            </w:r>
          </w:p>
        </w:tc>
        <w:tc>
          <w:tcPr>
            <w:tcW w:w="948" w:type="dxa"/>
            <w:noWrap w:val="0"/>
            <w:tcMar>
              <w:top w:w="15" w:type="dxa"/>
              <w:left w:w="15" w:type="dxa"/>
              <w:right w:w="15" w:type="dxa"/>
            </w:tcMar>
            <w:vAlign w:val="center"/>
          </w:tcPr>
          <w:p w14:paraId="3B8303D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10.8</w:t>
            </w:r>
          </w:p>
        </w:tc>
        <w:tc>
          <w:tcPr>
            <w:tcW w:w="949" w:type="dxa"/>
            <w:noWrap w:val="0"/>
            <w:tcMar>
              <w:top w:w="15" w:type="dxa"/>
              <w:left w:w="15" w:type="dxa"/>
              <w:right w:w="15" w:type="dxa"/>
            </w:tcMar>
            <w:vAlign w:val="center"/>
          </w:tcPr>
          <w:p w14:paraId="4DD88F2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15</w:t>
            </w:r>
          </w:p>
        </w:tc>
        <w:tc>
          <w:tcPr>
            <w:tcW w:w="959" w:type="dxa"/>
            <w:noWrap w:val="0"/>
            <w:tcMar>
              <w:top w:w="15" w:type="dxa"/>
              <w:left w:w="15" w:type="dxa"/>
              <w:right w:w="15" w:type="dxa"/>
            </w:tcMar>
            <w:vAlign w:val="center"/>
          </w:tcPr>
          <w:p w14:paraId="7EFE667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1F437DC9">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预期性</w:t>
            </w:r>
          </w:p>
        </w:tc>
      </w:tr>
      <w:tr w14:paraId="4C85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val="0"/>
            <w:tcMar>
              <w:top w:w="15" w:type="dxa"/>
              <w:left w:w="15" w:type="dxa"/>
              <w:right w:w="15" w:type="dxa"/>
            </w:tcMar>
            <w:vAlign w:val="center"/>
          </w:tcPr>
          <w:p w14:paraId="77B2B528">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bidi="ar"/>
              </w:rPr>
            </w:pPr>
          </w:p>
        </w:tc>
        <w:tc>
          <w:tcPr>
            <w:tcW w:w="715" w:type="dxa"/>
            <w:noWrap w:val="0"/>
            <w:tcMar>
              <w:top w:w="15" w:type="dxa"/>
              <w:left w:w="15" w:type="dxa"/>
              <w:right w:w="15" w:type="dxa"/>
            </w:tcMar>
            <w:vAlign w:val="center"/>
          </w:tcPr>
          <w:p w14:paraId="4FCBF5A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18</w:t>
            </w:r>
          </w:p>
        </w:tc>
        <w:tc>
          <w:tcPr>
            <w:tcW w:w="4138" w:type="dxa"/>
            <w:noWrap w:val="0"/>
            <w:tcMar>
              <w:top w:w="15" w:type="dxa"/>
              <w:left w:w="15" w:type="dxa"/>
              <w:right w:w="15" w:type="dxa"/>
            </w:tcMar>
            <w:vAlign w:val="center"/>
          </w:tcPr>
          <w:p w14:paraId="32CC5B8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人均预期寿命（岁）</w:t>
            </w:r>
          </w:p>
        </w:tc>
        <w:tc>
          <w:tcPr>
            <w:tcW w:w="948" w:type="dxa"/>
            <w:noWrap w:val="0"/>
            <w:tcMar>
              <w:top w:w="15" w:type="dxa"/>
              <w:left w:w="15" w:type="dxa"/>
              <w:right w:w="15" w:type="dxa"/>
            </w:tcMar>
            <w:vAlign w:val="center"/>
          </w:tcPr>
          <w:p w14:paraId="248E230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80.58</w:t>
            </w:r>
          </w:p>
        </w:tc>
        <w:tc>
          <w:tcPr>
            <w:tcW w:w="949" w:type="dxa"/>
            <w:noWrap w:val="0"/>
            <w:tcMar>
              <w:top w:w="15" w:type="dxa"/>
              <w:left w:w="15" w:type="dxa"/>
              <w:right w:w="15" w:type="dxa"/>
            </w:tcMar>
            <w:vAlign w:val="center"/>
          </w:tcPr>
          <w:p w14:paraId="41CB20D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81</w:t>
            </w:r>
          </w:p>
        </w:tc>
        <w:tc>
          <w:tcPr>
            <w:tcW w:w="959" w:type="dxa"/>
            <w:noWrap w:val="0"/>
            <w:tcMar>
              <w:top w:w="15" w:type="dxa"/>
              <w:left w:w="15" w:type="dxa"/>
              <w:right w:w="15" w:type="dxa"/>
            </w:tcMar>
            <w:vAlign w:val="center"/>
          </w:tcPr>
          <w:p w14:paraId="56B180A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63B19C0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预期性</w:t>
            </w:r>
          </w:p>
        </w:tc>
      </w:tr>
      <w:tr w14:paraId="15E8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7D260483">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rPr>
            </w:pPr>
          </w:p>
        </w:tc>
        <w:tc>
          <w:tcPr>
            <w:tcW w:w="715" w:type="dxa"/>
            <w:noWrap w:val="0"/>
            <w:tcMar>
              <w:top w:w="15" w:type="dxa"/>
              <w:left w:w="15" w:type="dxa"/>
              <w:right w:w="15" w:type="dxa"/>
            </w:tcMar>
            <w:vAlign w:val="center"/>
          </w:tcPr>
          <w:p w14:paraId="414007FA">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19</w:t>
            </w:r>
          </w:p>
        </w:tc>
        <w:tc>
          <w:tcPr>
            <w:tcW w:w="4138" w:type="dxa"/>
            <w:noWrap w:val="0"/>
            <w:tcMar>
              <w:top w:w="15" w:type="dxa"/>
              <w:left w:w="15" w:type="dxa"/>
              <w:right w:w="15" w:type="dxa"/>
            </w:tcMar>
            <w:vAlign w:val="center"/>
          </w:tcPr>
          <w:p w14:paraId="1AA49596">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left"/>
              <w:textAlignment w:val="center"/>
              <w:rPr>
                <w:rFonts w:hint="default" w:ascii="Times New Roman" w:hAnsi="Times New Roman" w:eastAsia="宋体" w:cs="Times New Roman"/>
                <w:b w:val="0"/>
                <w:i w:val="0"/>
                <w:color w:val="auto"/>
                <w:sz w:val="23"/>
                <w:szCs w:val="23"/>
                <w:highlight w:val="none"/>
              </w:rPr>
            </w:pPr>
            <w:r>
              <w:rPr>
                <w:rFonts w:hint="default" w:ascii="Times New Roman" w:hAnsi="Times New Roman" w:eastAsia="宋体" w:cs="Times New Roman"/>
                <w:b w:val="0"/>
                <w:i w:val="0"/>
                <w:color w:val="auto"/>
                <w:sz w:val="23"/>
                <w:szCs w:val="23"/>
                <w:highlight w:val="none"/>
                <w:lang w:val="en-US" w:eastAsia="zh-CN"/>
              </w:rPr>
              <w:t>文化及相关产业增加值占全区生产总值比重</w:t>
            </w:r>
            <w:r>
              <w:rPr>
                <w:rFonts w:hint="default" w:ascii="Times New Roman" w:hAnsi="Times New Roman" w:eastAsia="宋体" w:cs="Times New Roman"/>
                <w:b w:val="0"/>
                <w:i w:val="0"/>
                <w:color w:val="auto"/>
                <w:sz w:val="23"/>
                <w:szCs w:val="23"/>
                <w:highlight w:val="none"/>
              </w:rPr>
              <w:t>（</w:t>
            </w:r>
            <w:r>
              <w:rPr>
                <w:rFonts w:hint="default" w:ascii="Times New Roman" w:hAnsi="Times New Roman" w:eastAsia="宋体" w:cs="Times New Roman"/>
                <w:b w:val="0"/>
                <w:i w:val="0"/>
                <w:color w:val="auto"/>
                <w:sz w:val="23"/>
                <w:szCs w:val="23"/>
                <w:highlight w:val="none"/>
                <w:lang w:val="en-US" w:eastAsia="zh-CN"/>
              </w:rPr>
              <w:t>%</w:t>
            </w:r>
            <w:r>
              <w:rPr>
                <w:rFonts w:hint="default" w:ascii="Times New Roman" w:hAnsi="Times New Roman" w:eastAsia="宋体" w:cs="Times New Roman"/>
                <w:b w:val="0"/>
                <w:i w:val="0"/>
                <w:color w:val="auto"/>
                <w:sz w:val="23"/>
                <w:szCs w:val="23"/>
                <w:highlight w:val="none"/>
              </w:rPr>
              <w:t>）</w:t>
            </w:r>
          </w:p>
        </w:tc>
        <w:tc>
          <w:tcPr>
            <w:tcW w:w="948" w:type="dxa"/>
            <w:noWrap w:val="0"/>
            <w:tcMar>
              <w:top w:w="15" w:type="dxa"/>
              <w:left w:w="15" w:type="dxa"/>
              <w:right w:w="15" w:type="dxa"/>
            </w:tcMar>
            <w:vAlign w:val="center"/>
          </w:tcPr>
          <w:p w14:paraId="3845477D">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r>
              <w:rPr>
                <w:rFonts w:hint="default" w:ascii="Times New Roman" w:hAnsi="Times New Roman" w:eastAsia="宋体" w:cs="Times New Roman"/>
                <w:b w:val="0"/>
                <w:i w:val="0"/>
                <w:color w:val="auto"/>
                <w:sz w:val="23"/>
                <w:szCs w:val="23"/>
                <w:highlight w:val="none"/>
                <w:lang w:val="en-US" w:eastAsia="zh-CN"/>
              </w:rPr>
              <w:t>2.66</w:t>
            </w:r>
          </w:p>
        </w:tc>
        <w:tc>
          <w:tcPr>
            <w:tcW w:w="949" w:type="dxa"/>
            <w:noWrap w:val="0"/>
            <w:tcMar>
              <w:top w:w="15" w:type="dxa"/>
              <w:left w:w="15" w:type="dxa"/>
              <w:right w:w="15" w:type="dxa"/>
            </w:tcMar>
            <w:vAlign w:val="center"/>
          </w:tcPr>
          <w:p w14:paraId="02B58BD4">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r>
              <w:rPr>
                <w:rFonts w:hint="default" w:ascii="Times New Roman" w:hAnsi="Times New Roman" w:eastAsia="宋体" w:cs="Times New Roman"/>
                <w:b w:val="0"/>
                <w:i w:val="0"/>
                <w:color w:val="auto"/>
                <w:sz w:val="23"/>
                <w:szCs w:val="23"/>
                <w:rtl w:val="0"/>
                <w:lang w:val="en-US" w:eastAsia="zh-CN"/>
              </w:rPr>
              <w:t>4</w:t>
            </w:r>
          </w:p>
        </w:tc>
        <w:tc>
          <w:tcPr>
            <w:tcW w:w="959" w:type="dxa"/>
            <w:noWrap w:val="0"/>
            <w:tcMar>
              <w:top w:w="15" w:type="dxa"/>
              <w:left w:w="15" w:type="dxa"/>
              <w:right w:w="15" w:type="dxa"/>
            </w:tcMar>
            <w:vAlign w:val="center"/>
          </w:tcPr>
          <w:p w14:paraId="572FF8E7">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475DDB91">
            <w:pPr>
              <w:keepNext w:val="0"/>
              <w:keepLines w:val="0"/>
              <w:pageBreakBefore w:val="0"/>
              <w:widowControl/>
              <w:kinsoku/>
              <w:wordWrap/>
              <w:overflowPunct/>
              <w:topLinePunct w:val="0"/>
              <w:autoSpaceDE/>
              <w:autoSpaceDN/>
              <w:bidi w:val="0"/>
              <w:adjustRightInd/>
              <w:snapToGrid w:val="0"/>
              <w:spacing w:line="26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rPr>
            </w:pPr>
            <w:r>
              <w:rPr>
                <w:rFonts w:hint="default" w:ascii="Times New Roman" w:hAnsi="Times New Roman" w:eastAsia="宋体" w:cs="Times New Roman"/>
                <w:b w:val="0"/>
                <w:i w:val="0"/>
                <w:color w:val="auto"/>
                <w:sz w:val="23"/>
                <w:szCs w:val="23"/>
                <w:highlight w:val="none"/>
              </w:rPr>
              <w:t>预期性</w:t>
            </w:r>
          </w:p>
        </w:tc>
      </w:tr>
      <w:tr w14:paraId="130C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restart"/>
            <w:noWrap/>
            <w:tcMar>
              <w:top w:w="15" w:type="dxa"/>
              <w:left w:w="15" w:type="dxa"/>
              <w:right w:w="15" w:type="dxa"/>
            </w:tcMar>
            <w:vAlign w:val="center"/>
          </w:tcPr>
          <w:p w14:paraId="7F020FAE">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r>
              <w:rPr>
                <w:rFonts w:hint="default" w:ascii="Times New Roman" w:hAnsi="Times New Roman" w:eastAsia="宋体" w:cs="Times New Roman"/>
                <w:b w:val="0"/>
                <w:i w:val="0"/>
                <w:color w:val="auto"/>
                <w:sz w:val="23"/>
                <w:szCs w:val="23"/>
                <w:highlight w:val="none"/>
                <w:lang w:val="en-US" w:eastAsia="zh-CN"/>
              </w:rPr>
              <w:t>绿色低碳</w:t>
            </w:r>
          </w:p>
        </w:tc>
        <w:tc>
          <w:tcPr>
            <w:tcW w:w="715" w:type="dxa"/>
            <w:noWrap w:val="0"/>
            <w:tcMar>
              <w:top w:w="15" w:type="dxa"/>
              <w:left w:w="15" w:type="dxa"/>
              <w:right w:w="15" w:type="dxa"/>
            </w:tcMar>
            <w:vAlign w:val="center"/>
          </w:tcPr>
          <w:p w14:paraId="71DE8929">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20</w:t>
            </w:r>
          </w:p>
        </w:tc>
        <w:tc>
          <w:tcPr>
            <w:tcW w:w="4138" w:type="dxa"/>
            <w:noWrap w:val="0"/>
            <w:tcMar>
              <w:top w:w="15" w:type="dxa"/>
              <w:left w:w="15" w:type="dxa"/>
              <w:right w:w="15" w:type="dxa"/>
            </w:tcMar>
            <w:vAlign w:val="center"/>
          </w:tcPr>
          <w:p w14:paraId="0C32AC1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单位地区生产总值二氧化碳排放降低（%）</w:t>
            </w:r>
          </w:p>
        </w:tc>
        <w:tc>
          <w:tcPr>
            <w:tcW w:w="948" w:type="dxa"/>
            <w:noWrap w:val="0"/>
            <w:tcMar>
              <w:top w:w="15" w:type="dxa"/>
              <w:left w:w="15" w:type="dxa"/>
              <w:right w:w="15" w:type="dxa"/>
            </w:tcMar>
            <w:vAlign w:val="center"/>
          </w:tcPr>
          <w:p w14:paraId="43931B6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2"/>
                <w:sz w:val="23"/>
                <w:szCs w:val="23"/>
                <w:highlight w:val="none"/>
                <w:lang w:val="en-US" w:eastAsia="zh-CN" w:bidi="ar-SA"/>
              </w:rPr>
              <w:t>-</w:t>
            </w:r>
          </w:p>
        </w:tc>
        <w:tc>
          <w:tcPr>
            <w:tcW w:w="949" w:type="dxa"/>
            <w:noWrap w:val="0"/>
            <w:tcMar>
              <w:top w:w="15" w:type="dxa"/>
              <w:left w:w="15" w:type="dxa"/>
              <w:right w:w="15" w:type="dxa"/>
            </w:tcMar>
            <w:vAlign w:val="center"/>
          </w:tcPr>
          <w:p w14:paraId="71A9138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lang w:val="en-US" w:eastAsia="zh-CN" w:bidi="ar-SA"/>
              </w:rPr>
            </w:pPr>
            <w:r>
              <w:rPr>
                <w:rFonts w:hint="default" w:ascii="Times New Roman" w:hAnsi="Times New Roman" w:eastAsia="宋体" w:cs="Times New Roman"/>
                <w:b w:val="0"/>
                <w:i w:val="0"/>
                <w:color w:val="auto"/>
                <w:kern w:val="0"/>
                <w:sz w:val="23"/>
                <w:szCs w:val="23"/>
                <w:highlight w:val="none"/>
                <w:lang w:val="en-US" w:eastAsia="zh-CN" w:bidi="ar"/>
              </w:rPr>
              <w:t>*</w:t>
            </w:r>
          </w:p>
        </w:tc>
        <w:tc>
          <w:tcPr>
            <w:tcW w:w="959" w:type="dxa"/>
            <w:noWrap w:val="0"/>
            <w:tcMar>
              <w:top w:w="15" w:type="dxa"/>
              <w:left w:w="15" w:type="dxa"/>
              <w:right w:w="15" w:type="dxa"/>
            </w:tcMar>
            <w:vAlign w:val="center"/>
          </w:tcPr>
          <w:p w14:paraId="6052F82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5E4074A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约束性</w:t>
            </w:r>
          </w:p>
        </w:tc>
      </w:tr>
      <w:tr w14:paraId="16AD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5CF894EC">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p>
        </w:tc>
        <w:tc>
          <w:tcPr>
            <w:tcW w:w="715" w:type="dxa"/>
            <w:noWrap w:val="0"/>
            <w:tcMar>
              <w:top w:w="15" w:type="dxa"/>
              <w:left w:w="15" w:type="dxa"/>
              <w:right w:w="15" w:type="dxa"/>
            </w:tcMar>
            <w:vAlign w:val="center"/>
          </w:tcPr>
          <w:p w14:paraId="29B3C6F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21</w:t>
            </w:r>
          </w:p>
        </w:tc>
        <w:tc>
          <w:tcPr>
            <w:tcW w:w="4138" w:type="dxa"/>
            <w:noWrap w:val="0"/>
            <w:tcMar>
              <w:top w:w="15" w:type="dxa"/>
              <w:left w:w="15" w:type="dxa"/>
              <w:right w:w="15" w:type="dxa"/>
            </w:tcMar>
            <w:vAlign w:val="center"/>
          </w:tcPr>
          <w:p w14:paraId="1AFE80B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bidi="ar"/>
              </w:rPr>
              <w:t>非化石能源占能源消费比重（%）</w:t>
            </w:r>
          </w:p>
        </w:tc>
        <w:tc>
          <w:tcPr>
            <w:tcW w:w="948" w:type="dxa"/>
            <w:noWrap w:val="0"/>
            <w:tcMar>
              <w:top w:w="15" w:type="dxa"/>
              <w:left w:w="15" w:type="dxa"/>
              <w:right w:w="15" w:type="dxa"/>
            </w:tcMar>
            <w:vAlign w:val="center"/>
          </w:tcPr>
          <w:p w14:paraId="07FD2B3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2"/>
                <w:sz w:val="23"/>
                <w:szCs w:val="23"/>
                <w:highlight w:val="none"/>
                <w:lang w:val="en-US" w:eastAsia="zh-CN" w:bidi="ar-SA"/>
              </w:rPr>
              <w:t>-</w:t>
            </w:r>
          </w:p>
        </w:tc>
        <w:tc>
          <w:tcPr>
            <w:tcW w:w="949" w:type="dxa"/>
            <w:noWrap w:val="0"/>
            <w:tcMar>
              <w:top w:w="15" w:type="dxa"/>
              <w:left w:w="15" w:type="dxa"/>
              <w:right w:w="15" w:type="dxa"/>
            </w:tcMar>
            <w:vAlign w:val="center"/>
          </w:tcPr>
          <w:p w14:paraId="36011BC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rtl w:val="0"/>
                <w:lang w:val="en-US" w:eastAsia="zh-CN" w:bidi="ar-SA"/>
              </w:rPr>
            </w:pPr>
            <w:r>
              <w:rPr>
                <w:rFonts w:hint="default" w:ascii="Times New Roman" w:hAnsi="Times New Roman" w:eastAsia="宋体" w:cs="Times New Roman"/>
                <w:b w:val="0"/>
                <w:i w:val="0"/>
                <w:color w:val="auto"/>
                <w:sz w:val="23"/>
                <w:szCs w:val="23"/>
                <w:lang w:val="en-US" w:eastAsia="zh-CN"/>
              </w:rPr>
              <w:t>*</w:t>
            </w:r>
          </w:p>
        </w:tc>
        <w:tc>
          <w:tcPr>
            <w:tcW w:w="959" w:type="dxa"/>
            <w:noWrap w:val="0"/>
            <w:tcMar>
              <w:top w:w="15" w:type="dxa"/>
              <w:left w:w="15" w:type="dxa"/>
              <w:right w:w="15" w:type="dxa"/>
            </w:tcMar>
            <w:vAlign w:val="center"/>
          </w:tcPr>
          <w:p w14:paraId="208B1B37">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77BCCB2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约束性</w:t>
            </w:r>
          </w:p>
        </w:tc>
      </w:tr>
      <w:tr w14:paraId="7917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1B7F5703">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p>
        </w:tc>
        <w:tc>
          <w:tcPr>
            <w:tcW w:w="715" w:type="dxa"/>
            <w:noWrap w:val="0"/>
            <w:tcMar>
              <w:top w:w="15" w:type="dxa"/>
              <w:left w:w="15" w:type="dxa"/>
              <w:right w:w="15" w:type="dxa"/>
            </w:tcMar>
            <w:vAlign w:val="center"/>
          </w:tcPr>
          <w:p w14:paraId="720E72DA">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22</w:t>
            </w:r>
          </w:p>
        </w:tc>
        <w:tc>
          <w:tcPr>
            <w:tcW w:w="4138" w:type="dxa"/>
            <w:noWrap w:val="0"/>
            <w:tcMar>
              <w:top w:w="15" w:type="dxa"/>
              <w:left w:w="15" w:type="dxa"/>
              <w:right w:w="15" w:type="dxa"/>
            </w:tcMar>
            <w:vAlign w:val="center"/>
          </w:tcPr>
          <w:p w14:paraId="0325224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城市细颗粒物（</w:t>
            </w:r>
            <w:r>
              <w:rPr>
                <w:rFonts w:hint="default" w:ascii="Times New Roman" w:hAnsi="Times New Roman" w:eastAsia="宋体" w:cs="Times New Roman"/>
                <w:b w:val="0"/>
                <w:i w:val="0"/>
                <w:iCs w:val="0"/>
                <w:caps w:val="0"/>
                <w:color w:val="auto"/>
                <w:spacing w:val="0"/>
                <w:sz w:val="23"/>
                <w:szCs w:val="23"/>
                <w:shd w:val="clear" w:color="auto" w:fill="FFFFFF"/>
              </w:rPr>
              <w:t>PM</w:t>
            </w:r>
            <w:r>
              <w:rPr>
                <w:rFonts w:hint="default" w:ascii="Times New Roman" w:hAnsi="Times New Roman" w:eastAsia="宋体" w:cs="Times New Roman"/>
                <w:b w:val="0"/>
                <w:i w:val="0"/>
                <w:iCs w:val="0"/>
                <w:caps w:val="0"/>
                <w:color w:val="auto"/>
                <w:spacing w:val="0"/>
                <w:sz w:val="23"/>
                <w:szCs w:val="23"/>
                <w:shd w:val="clear" w:color="auto" w:fill="FFFFFF"/>
                <w:vertAlign w:val="baseline"/>
              </w:rPr>
              <w:t>2</w:t>
            </w:r>
            <w:r>
              <w:rPr>
                <w:rFonts w:hint="default" w:ascii="Times New Roman" w:hAnsi="Times New Roman" w:eastAsia="宋体" w:cs="Times New Roman"/>
                <w:b w:val="0"/>
                <w:i w:val="0"/>
                <w:iCs w:val="0"/>
                <w:caps w:val="0"/>
                <w:color w:val="auto"/>
                <w:spacing w:val="0"/>
                <w:sz w:val="23"/>
                <w:szCs w:val="23"/>
                <w:shd w:val="clear" w:color="auto" w:fill="FFFFFF"/>
                <w:vertAlign w:val="baseline"/>
                <w:lang w:eastAsia="zh-CN"/>
              </w:rPr>
              <w:t>.</w:t>
            </w:r>
            <w:r>
              <w:rPr>
                <w:rFonts w:hint="default" w:ascii="Times New Roman" w:hAnsi="Times New Roman" w:eastAsia="宋体" w:cs="Times New Roman"/>
                <w:b w:val="0"/>
                <w:i w:val="0"/>
                <w:iCs w:val="0"/>
                <w:caps w:val="0"/>
                <w:color w:val="auto"/>
                <w:spacing w:val="0"/>
                <w:sz w:val="23"/>
                <w:szCs w:val="23"/>
                <w:shd w:val="clear" w:color="auto" w:fill="FFFFFF"/>
                <w:vertAlign w:val="baseline"/>
              </w:rPr>
              <w:t>5</w:t>
            </w:r>
            <w:r>
              <w:rPr>
                <w:rFonts w:hint="default" w:ascii="Times New Roman" w:hAnsi="Times New Roman" w:eastAsia="宋体" w:cs="Times New Roman"/>
                <w:b w:val="0"/>
                <w:i w:val="0"/>
                <w:color w:val="auto"/>
                <w:kern w:val="0"/>
                <w:sz w:val="23"/>
                <w:szCs w:val="23"/>
                <w:highlight w:val="none"/>
                <w:lang w:val="en-US" w:eastAsia="zh-CN" w:bidi="ar"/>
              </w:rPr>
              <w:t>）</w:t>
            </w:r>
            <w:r>
              <w:rPr>
                <w:rFonts w:hint="default" w:ascii="Times New Roman" w:hAnsi="Times New Roman" w:eastAsia="宋体" w:cs="Times New Roman"/>
                <w:b w:val="0"/>
                <w:i w:val="0"/>
                <w:iCs w:val="0"/>
                <w:caps w:val="0"/>
                <w:color w:val="auto"/>
                <w:spacing w:val="0"/>
                <w:sz w:val="23"/>
                <w:szCs w:val="23"/>
                <w:shd w:val="clear" w:color="auto" w:fill="FFFFFF"/>
              </w:rPr>
              <w:t>浓度</w:t>
            </w:r>
            <w:r>
              <w:rPr>
                <w:rFonts w:hint="default" w:ascii="Times New Roman" w:hAnsi="Times New Roman" w:eastAsia="宋体" w:cs="Times New Roman"/>
                <w:b w:val="0"/>
                <w:i w:val="0"/>
                <w:iCs w:val="0"/>
                <w:caps w:val="0"/>
                <w:color w:val="auto"/>
                <w:spacing w:val="0"/>
                <w:sz w:val="23"/>
                <w:szCs w:val="23"/>
                <w:shd w:val="clear" w:color="auto" w:fill="FFFFFF"/>
                <w:lang w:eastAsia="zh-CN"/>
              </w:rPr>
              <w:t>（</w:t>
            </w:r>
            <w:r>
              <w:rPr>
                <w:rFonts w:hint="default" w:ascii="Times New Roman" w:hAnsi="Times New Roman" w:eastAsia="宋体" w:cs="Times New Roman"/>
                <w:b w:val="0"/>
                <w:i w:val="0"/>
                <w:iCs w:val="0"/>
                <w:caps w:val="0"/>
                <w:color w:val="auto"/>
                <w:spacing w:val="0"/>
                <w:sz w:val="23"/>
                <w:szCs w:val="23"/>
                <w:shd w:val="clear" w:color="auto" w:fill="FFFFFF"/>
              </w:rPr>
              <w:t>μg/m</w:t>
            </w:r>
            <w:r>
              <w:rPr>
                <w:rFonts w:hint="default" w:ascii="Times New Roman" w:hAnsi="Times New Roman" w:eastAsia="宋体" w:cs="Times New Roman"/>
                <w:b w:val="0"/>
                <w:i w:val="0"/>
                <w:iCs w:val="0"/>
                <w:caps w:val="0"/>
                <w:color w:val="auto"/>
                <w:spacing w:val="0"/>
                <w:sz w:val="23"/>
                <w:szCs w:val="23"/>
                <w:shd w:val="clear" w:color="auto" w:fill="FFFFFF"/>
                <w:vertAlign w:val="superscript"/>
                <w:lang w:val="en-US" w:eastAsia="zh-CN"/>
              </w:rPr>
              <w:t>3</w:t>
            </w:r>
            <w:r>
              <w:rPr>
                <w:rFonts w:hint="default" w:ascii="Times New Roman" w:hAnsi="Times New Roman" w:eastAsia="宋体" w:cs="Times New Roman"/>
                <w:b w:val="0"/>
                <w:i w:val="0"/>
                <w:iCs w:val="0"/>
                <w:caps w:val="0"/>
                <w:color w:val="auto"/>
                <w:spacing w:val="0"/>
                <w:sz w:val="23"/>
                <w:szCs w:val="23"/>
                <w:shd w:val="clear" w:color="auto" w:fill="FFFFFF"/>
                <w:lang w:eastAsia="zh-CN"/>
              </w:rPr>
              <w:t>）</w:t>
            </w:r>
          </w:p>
        </w:tc>
        <w:tc>
          <w:tcPr>
            <w:tcW w:w="948" w:type="dxa"/>
            <w:noWrap w:val="0"/>
            <w:tcMar>
              <w:top w:w="15" w:type="dxa"/>
              <w:left w:w="15" w:type="dxa"/>
              <w:right w:w="15" w:type="dxa"/>
            </w:tcMar>
            <w:vAlign w:val="center"/>
          </w:tcPr>
          <w:p w14:paraId="4D966ABE">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0"/>
                <w:sz w:val="23"/>
                <w:szCs w:val="23"/>
                <w:highlight w:val="none"/>
                <w:lang w:val="en-US" w:eastAsia="zh-CN"/>
              </w:rPr>
              <w:t>34</w:t>
            </w:r>
          </w:p>
        </w:tc>
        <w:tc>
          <w:tcPr>
            <w:tcW w:w="949" w:type="dxa"/>
            <w:noWrap w:val="0"/>
            <w:tcMar>
              <w:top w:w="15" w:type="dxa"/>
              <w:left w:w="15" w:type="dxa"/>
              <w:right w:w="15" w:type="dxa"/>
            </w:tcMar>
            <w:vAlign w:val="center"/>
          </w:tcPr>
          <w:p w14:paraId="6F4FA7EE">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rtl w:val="0"/>
                <w:lang w:val="en-US" w:eastAsia="zh-CN" w:bidi="ar-SA"/>
              </w:rPr>
            </w:pPr>
            <w:r>
              <w:rPr>
                <w:rFonts w:hint="default" w:ascii="Times New Roman" w:hAnsi="Times New Roman" w:eastAsia="宋体" w:cs="Times New Roman"/>
                <w:b w:val="0"/>
                <w:i w:val="0"/>
                <w:color w:val="auto"/>
                <w:sz w:val="23"/>
                <w:szCs w:val="23"/>
                <w:rtl w:val="0"/>
                <w:lang w:val="en-US" w:eastAsia="zh-CN"/>
              </w:rPr>
              <w:t>*</w:t>
            </w:r>
          </w:p>
        </w:tc>
        <w:tc>
          <w:tcPr>
            <w:tcW w:w="959" w:type="dxa"/>
            <w:noWrap w:val="0"/>
            <w:tcMar>
              <w:top w:w="15" w:type="dxa"/>
              <w:left w:w="15" w:type="dxa"/>
              <w:right w:w="15" w:type="dxa"/>
            </w:tcMar>
            <w:vAlign w:val="center"/>
          </w:tcPr>
          <w:p w14:paraId="7F089B55">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5B88837F">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约束性</w:t>
            </w:r>
          </w:p>
        </w:tc>
      </w:tr>
      <w:tr w14:paraId="6162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7EC22945">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p>
        </w:tc>
        <w:tc>
          <w:tcPr>
            <w:tcW w:w="715" w:type="dxa"/>
            <w:noWrap w:val="0"/>
            <w:tcMar>
              <w:top w:w="15" w:type="dxa"/>
              <w:left w:w="15" w:type="dxa"/>
              <w:right w:w="15" w:type="dxa"/>
            </w:tcMar>
            <w:vAlign w:val="center"/>
          </w:tcPr>
          <w:p w14:paraId="09E425C7">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23</w:t>
            </w:r>
          </w:p>
        </w:tc>
        <w:tc>
          <w:tcPr>
            <w:tcW w:w="4138" w:type="dxa"/>
            <w:noWrap w:val="0"/>
            <w:tcMar>
              <w:top w:w="15" w:type="dxa"/>
              <w:left w:w="15" w:type="dxa"/>
              <w:right w:w="15" w:type="dxa"/>
            </w:tcMar>
            <w:vAlign w:val="center"/>
          </w:tcPr>
          <w:p w14:paraId="396F682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lang w:val="en-US" w:eastAsia="zh-CN"/>
              </w:rPr>
              <w:t>优良水体</w:t>
            </w:r>
            <w:r>
              <w:rPr>
                <w:rFonts w:hint="default" w:ascii="Times New Roman" w:hAnsi="Times New Roman" w:eastAsia="宋体" w:cs="Times New Roman"/>
                <w:b w:val="0"/>
                <w:i w:val="0"/>
                <w:color w:val="auto"/>
                <w:sz w:val="23"/>
                <w:szCs w:val="23"/>
                <w:highlight w:val="none"/>
              </w:rPr>
              <w:t>比例（%）</w:t>
            </w:r>
          </w:p>
        </w:tc>
        <w:tc>
          <w:tcPr>
            <w:tcW w:w="948" w:type="dxa"/>
            <w:noWrap w:val="0"/>
            <w:tcMar>
              <w:top w:w="15" w:type="dxa"/>
              <w:left w:w="15" w:type="dxa"/>
              <w:right w:w="15" w:type="dxa"/>
            </w:tcMar>
            <w:vAlign w:val="center"/>
          </w:tcPr>
          <w:p w14:paraId="0C908CE9">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0"/>
                <w:sz w:val="23"/>
                <w:szCs w:val="23"/>
                <w:highlight w:val="none"/>
              </w:rPr>
              <w:t>100</w:t>
            </w:r>
          </w:p>
        </w:tc>
        <w:tc>
          <w:tcPr>
            <w:tcW w:w="949" w:type="dxa"/>
            <w:noWrap w:val="0"/>
            <w:tcMar>
              <w:top w:w="15" w:type="dxa"/>
              <w:left w:w="15" w:type="dxa"/>
              <w:right w:w="15" w:type="dxa"/>
            </w:tcMar>
            <w:vAlign w:val="center"/>
          </w:tcPr>
          <w:p w14:paraId="3AA5978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0"/>
                <w:sz w:val="23"/>
                <w:szCs w:val="23"/>
                <w:highlight w:val="none"/>
              </w:rPr>
              <w:t>100</w:t>
            </w:r>
          </w:p>
        </w:tc>
        <w:tc>
          <w:tcPr>
            <w:tcW w:w="959" w:type="dxa"/>
            <w:noWrap w:val="0"/>
            <w:tcMar>
              <w:top w:w="15" w:type="dxa"/>
              <w:left w:w="15" w:type="dxa"/>
              <w:right w:w="15" w:type="dxa"/>
            </w:tcMar>
            <w:vAlign w:val="center"/>
          </w:tcPr>
          <w:p w14:paraId="0B6324EF">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11FF832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0"/>
                <w:sz w:val="23"/>
                <w:szCs w:val="23"/>
                <w:highlight w:val="none"/>
                <w:lang w:bidi="ar"/>
              </w:rPr>
              <w:t>约束性</w:t>
            </w:r>
          </w:p>
        </w:tc>
      </w:tr>
      <w:tr w14:paraId="189A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551A9203">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p>
        </w:tc>
        <w:tc>
          <w:tcPr>
            <w:tcW w:w="715" w:type="dxa"/>
            <w:noWrap w:val="0"/>
            <w:tcMar>
              <w:top w:w="15" w:type="dxa"/>
              <w:left w:w="15" w:type="dxa"/>
              <w:right w:w="15" w:type="dxa"/>
            </w:tcMar>
            <w:vAlign w:val="center"/>
          </w:tcPr>
          <w:p w14:paraId="1F66E763">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24</w:t>
            </w:r>
          </w:p>
        </w:tc>
        <w:tc>
          <w:tcPr>
            <w:tcW w:w="4138" w:type="dxa"/>
            <w:noWrap w:val="0"/>
            <w:tcMar>
              <w:top w:w="15" w:type="dxa"/>
              <w:left w:w="15" w:type="dxa"/>
              <w:right w:w="15" w:type="dxa"/>
            </w:tcMar>
            <w:vAlign w:val="center"/>
          </w:tcPr>
          <w:p w14:paraId="42AA640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0"/>
                <w:sz w:val="23"/>
                <w:szCs w:val="23"/>
                <w:highlight w:val="none"/>
                <w:lang w:bidi="ar"/>
              </w:rPr>
              <w:t>森林覆盖率（%）</w:t>
            </w:r>
          </w:p>
        </w:tc>
        <w:tc>
          <w:tcPr>
            <w:tcW w:w="948" w:type="dxa"/>
            <w:noWrap w:val="0"/>
            <w:tcMar>
              <w:top w:w="15" w:type="dxa"/>
              <w:left w:w="15" w:type="dxa"/>
              <w:right w:w="15" w:type="dxa"/>
            </w:tcMar>
            <w:vAlign w:val="center"/>
          </w:tcPr>
          <w:p w14:paraId="5A4669C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rPr>
              <w:t>28</w:t>
            </w:r>
            <w:r>
              <w:rPr>
                <w:rFonts w:hint="default" w:ascii="Times New Roman" w:hAnsi="Times New Roman" w:eastAsia="宋体" w:cs="Times New Roman"/>
                <w:b w:val="0"/>
                <w:i w:val="0"/>
                <w:color w:val="auto"/>
                <w:sz w:val="23"/>
                <w:szCs w:val="23"/>
                <w:highlight w:val="none"/>
                <w:lang w:eastAsia="zh-CN"/>
              </w:rPr>
              <w:t>.</w:t>
            </w:r>
            <w:r>
              <w:rPr>
                <w:rFonts w:hint="default" w:ascii="Times New Roman" w:hAnsi="Times New Roman" w:eastAsia="宋体" w:cs="Times New Roman"/>
                <w:b w:val="0"/>
                <w:i w:val="0"/>
                <w:color w:val="auto"/>
                <w:sz w:val="23"/>
                <w:szCs w:val="23"/>
                <w:highlight w:val="none"/>
              </w:rPr>
              <w:t>2</w:t>
            </w:r>
          </w:p>
        </w:tc>
        <w:tc>
          <w:tcPr>
            <w:tcW w:w="949" w:type="dxa"/>
            <w:noWrap w:val="0"/>
            <w:tcMar>
              <w:top w:w="15" w:type="dxa"/>
              <w:left w:w="15" w:type="dxa"/>
              <w:right w:w="15" w:type="dxa"/>
            </w:tcMar>
            <w:vAlign w:val="center"/>
          </w:tcPr>
          <w:p w14:paraId="29F3316E">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highlight w:val="none"/>
              </w:rPr>
              <w:t>28</w:t>
            </w:r>
            <w:r>
              <w:rPr>
                <w:rFonts w:hint="default" w:ascii="Times New Roman" w:hAnsi="Times New Roman" w:eastAsia="宋体" w:cs="Times New Roman"/>
                <w:b w:val="0"/>
                <w:i w:val="0"/>
                <w:color w:val="auto"/>
                <w:sz w:val="23"/>
                <w:szCs w:val="23"/>
                <w:highlight w:val="none"/>
                <w:lang w:eastAsia="zh-CN"/>
              </w:rPr>
              <w:t>.</w:t>
            </w:r>
            <w:r>
              <w:rPr>
                <w:rFonts w:hint="default" w:ascii="Times New Roman" w:hAnsi="Times New Roman" w:eastAsia="宋体" w:cs="Times New Roman"/>
                <w:b w:val="0"/>
                <w:i w:val="0"/>
                <w:color w:val="auto"/>
                <w:sz w:val="23"/>
                <w:szCs w:val="23"/>
                <w:highlight w:val="none"/>
              </w:rPr>
              <w:t>2</w:t>
            </w:r>
          </w:p>
        </w:tc>
        <w:tc>
          <w:tcPr>
            <w:tcW w:w="959" w:type="dxa"/>
            <w:noWrap w:val="0"/>
            <w:tcMar>
              <w:top w:w="15" w:type="dxa"/>
              <w:left w:w="15" w:type="dxa"/>
              <w:right w:w="15" w:type="dxa"/>
            </w:tcMar>
            <w:vAlign w:val="center"/>
          </w:tcPr>
          <w:p w14:paraId="21FACD80">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3F29AB6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0"/>
                <w:sz w:val="23"/>
                <w:szCs w:val="23"/>
                <w:highlight w:val="none"/>
                <w:lang w:bidi="ar"/>
              </w:rPr>
              <w:t>约束性</w:t>
            </w:r>
          </w:p>
        </w:tc>
      </w:tr>
      <w:tr w14:paraId="55FC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restart"/>
            <w:noWrap/>
            <w:tcMar>
              <w:top w:w="15" w:type="dxa"/>
              <w:left w:w="15" w:type="dxa"/>
              <w:right w:w="15" w:type="dxa"/>
            </w:tcMar>
            <w:vAlign w:val="center"/>
          </w:tcPr>
          <w:p w14:paraId="71D4C48B">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r>
              <w:rPr>
                <w:rFonts w:hint="default" w:ascii="Times New Roman" w:hAnsi="Times New Roman" w:eastAsia="宋体" w:cs="Times New Roman"/>
                <w:b w:val="0"/>
                <w:i w:val="0"/>
                <w:color w:val="auto"/>
                <w:sz w:val="23"/>
                <w:szCs w:val="23"/>
                <w:highlight w:val="none"/>
                <w:lang w:val="en-US" w:eastAsia="zh-CN"/>
              </w:rPr>
              <w:t>安全发展</w:t>
            </w:r>
          </w:p>
        </w:tc>
        <w:tc>
          <w:tcPr>
            <w:tcW w:w="715" w:type="dxa"/>
            <w:noWrap w:val="0"/>
            <w:tcMar>
              <w:top w:w="15" w:type="dxa"/>
              <w:left w:w="15" w:type="dxa"/>
              <w:right w:w="15" w:type="dxa"/>
            </w:tcMar>
            <w:vAlign w:val="center"/>
          </w:tcPr>
          <w:p w14:paraId="33FCBCE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25</w:t>
            </w:r>
          </w:p>
        </w:tc>
        <w:tc>
          <w:tcPr>
            <w:tcW w:w="4138" w:type="dxa"/>
            <w:noWrap w:val="0"/>
            <w:tcMar>
              <w:top w:w="15" w:type="dxa"/>
              <w:left w:w="15" w:type="dxa"/>
              <w:right w:w="15" w:type="dxa"/>
            </w:tcMar>
            <w:vAlign w:val="center"/>
          </w:tcPr>
          <w:p w14:paraId="4CA3A6A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0"/>
                <w:sz w:val="23"/>
                <w:szCs w:val="23"/>
                <w:lang w:bidi="ar"/>
              </w:rPr>
              <w:t>粮食综合生产能力（万吨）</w:t>
            </w:r>
          </w:p>
        </w:tc>
        <w:tc>
          <w:tcPr>
            <w:tcW w:w="948" w:type="dxa"/>
            <w:noWrap w:val="0"/>
            <w:tcMar>
              <w:top w:w="15" w:type="dxa"/>
              <w:left w:w="15" w:type="dxa"/>
              <w:right w:w="15" w:type="dxa"/>
            </w:tcMar>
            <w:vAlign w:val="center"/>
          </w:tcPr>
          <w:p w14:paraId="4B988F9F">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lang w:val="en-US" w:eastAsia="zh-CN" w:bidi="ar-SA"/>
              </w:rPr>
            </w:pPr>
            <w:r>
              <w:rPr>
                <w:rFonts w:hint="default" w:ascii="Times New Roman" w:hAnsi="Times New Roman" w:eastAsia="宋体" w:cs="Times New Roman"/>
                <w:b w:val="0"/>
                <w:i w:val="0"/>
                <w:color w:val="auto"/>
                <w:sz w:val="23"/>
                <w:szCs w:val="23"/>
              </w:rPr>
              <w:t>11</w:t>
            </w:r>
            <w:r>
              <w:rPr>
                <w:rFonts w:hint="default" w:ascii="Times New Roman" w:hAnsi="Times New Roman" w:eastAsia="宋体" w:cs="Times New Roman"/>
                <w:b w:val="0"/>
                <w:i w:val="0"/>
                <w:color w:val="auto"/>
                <w:sz w:val="23"/>
                <w:szCs w:val="23"/>
                <w:lang w:val="en-US" w:eastAsia="zh-CN"/>
              </w:rPr>
              <w:t>.5</w:t>
            </w:r>
          </w:p>
        </w:tc>
        <w:tc>
          <w:tcPr>
            <w:tcW w:w="949" w:type="dxa"/>
            <w:noWrap w:val="0"/>
            <w:tcMar>
              <w:top w:w="15" w:type="dxa"/>
              <w:left w:w="15" w:type="dxa"/>
              <w:right w:w="15" w:type="dxa"/>
            </w:tcMar>
            <w:vAlign w:val="center"/>
          </w:tcPr>
          <w:p w14:paraId="6309910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rtl w:val="0"/>
                <w:lang w:val="en-US" w:eastAsia="zh-CN" w:bidi="ar-SA"/>
              </w:rPr>
            </w:pPr>
            <w:r>
              <w:rPr>
                <w:rFonts w:hint="default" w:ascii="Times New Roman" w:hAnsi="Times New Roman" w:eastAsia="宋体" w:cs="Times New Roman"/>
                <w:b w:val="0"/>
                <w:i w:val="0"/>
                <w:color w:val="auto"/>
                <w:sz w:val="23"/>
                <w:szCs w:val="23"/>
              </w:rPr>
              <w:t>≥11</w:t>
            </w:r>
            <w:r>
              <w:rPr>
                <w:rFonts w:hint="default" w:ascii="Times New Roman" w:hAnsi="Times New Roman" w:eastAsia="宋体" w:cs="Times New Roman"/>
                <w:b w:val="0"/>
                <w:i w:val="0"/>
                <w:color w:val="auto"/>
                <w:sz w:val="23"/>
                <w:szCs w:val="23"/>
                <w:lang w:val="en-US" w:eastAsia="zh-CN"/>
              </w:rPr>
              <w:t>.5</w:t>
            </w:r>
          </w:p>
        </w:tc>
        <w:tc>
          <w:tcPr>
            <w:tcW w:w="959" w:type="dxa"/>
            <w:noWrap w:val="0"/>
            <w:tcMar>
              <w:top w:w="15" w:type="dxa"/>
              <w:left w:w="15" w:type="dxa"/>
              <w:right w:w="15" w:type="dxa"/>
            </w:tcMar>
            <w:vAlign w:val="center"/>
          </w:tcPr>
          <w:p w14:paraId="3C6CB8F1">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68983C1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2"/>
                <w:sz w:val="23"/>
                <w:szCs w:val="23"/>
                <w:highlight w:val="none"/>
                <w:lang w:val="en-US" w:eastAsia="zh-CN" w:bidi="ar-SA"/>
              </w:rPr>
              <w:t>约束性</w:t>
            </w:r>
          </w:p>
        </w:tc>
      </w:tr>
      <w:tr w14:paraId="56D6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41" w:type="dxa"/>
            <w:vMerge w:val="continue"/>
            <w:noWrap/>
            <w:tcMar>
              <w:top w:w="15" w:type="dxa"/>
              <w:left w:w="15" w:type="dxa"/>
              <w:right w:w="15" w:type="dxa"/>
            </w:tcMar>
            <w:vAlign w:val="center"/>
          </w:tcPr>
          <w:p w14:paraId="178250F7">
            <w:pPr>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center"/>
              <w:rPr>
                <w:rFonts w:hint="default" w:ascii="Times New Roman" w:hAnsi="Times New Roman" w:eastAsia="宋体" w:cs="Times New Roman"/>
                <w:b w:val="0"/>
                <w:i w:val="0"/>
                <w:color w:val="auto"/>
                <w:sz w:val="23"/>
                <w:szCs w:val="23"/>
                <w:highlight w:val="none"/>
                <w:lang w:val="en-US" w:eastAsia="zh-CN"/>
              </w:rPr>
            </w:pPr>
          </w:p>
        </w:tc>
        <w:tc>
          <w:tcPr>
            <w:tcW w:w="715" w:type="dxa"/>
            <w:noWrap w:val="0"/>
            <w:tcMar>
              <w:top w:w="15" w:type="dxa"/>
              <w:left w:w="15" w:type="dxa"/>
              <w:right w:w="15" w:type="dxa"/>
            </w:tcMar>
            <w:vAlign w:val="center"/>
          </w:tcPr>
          <w:p w14:paraId="6205A36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26</w:t>
            </w:r>
          </w:p>
        </w:tc>
        <w:tc>
          <w:tcPr>
            <w:tcW w:w="4138" w:type="dxa"/>
            <w:noWrap w:val="0"/>
            <w:tcMar>
              <w:top w:w="15" w:type="dxa"/>
              <w:left w:w="15" w:type="dxa"/>
              <w:right w:w="15" w:type="dxa"/>
            </w:tcMar>
            <w:vAlign w:val="center"/>
          </w:tcPr>
          <w:p w14:paraId="1CA7E124">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0"/>
                <w:sz w:val="23"/>
                <w:szCs w:val="23"/>
                <w:highlight w:val="none"/>
                <w:lang w:val="en-US" w:eastAsia="zh-CN" w:bidi="ar"/>
              </w:rPr>
              <w:t>能源综合生产能力（万吨标准煤）</w:t>
            </w:r>
          </w:p>
        </w:tc>
        <w:tc>
          <w:tcPr>
            <w:tcW w:w="948" w:type="dxa"/>
            <w:noWrap w:val="0"/>
            <w:tcMar>
              <w:top w:w="15" w:type="dxa"/>
              <w:left w:w="15" w:type="dxa"/>
              <w:right w:w="15" w:type="dxa"/>
            </w:tcMar>
            <w:vAlign w:val="center"/>
          </w:tcPr>
          <w:p w14:paraId="1DB07FB2">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2"/>
                <w:sz w:val="23"/>
                <w:szCs w:val="23"/>
                <w:highlight w:val="none"/>
                <w:lang w:val="en-US" w:eastAsia="zh-CN" w:bidi="ar-SA"/>
              </w:rPr>
              <w:t>-</w:t>
            </w:r>
          </w:p>
        </w:tc>
        <w:tc>
          <w:tcPr>
            <w:tcW w:w="949" w:type="dxa"/>
            <w:noWrap w:val="0"/>
            <w:tcMar>
              <w:top w:w="15" w:type="dxa"/>
              <w:left w:w="15" w:type="dxa"/>
              <w:right w:w="15" w:type="dxa"/>
            </w:tcMar>
            <w:vAlign w:val="center"/>
          </w:tcPr>
          <w:p w14:paraId="3F6663FB">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kern w:val="2"/>
                <w:sz w:val="23"/>
                <w:szCs w:val="23"/>
                <w:highlight w:val="none"/>
                <w:lang w:val="en-US" w:eastAsia="zh-CN" w:bidi="ar-SA"/>
              </w:rPr>
              <w:t>*</w:t>
            </w:r>
          </w:p>
        </w:tc>
        <w:tc>
          <w:tcPr>
            <w:tcW w:w="959" w:type="dxa"/>
            <w:noWrap w:val="0"/>
            <w:tcMar>
              <w:top w:w="15" w:type="dxa"/>
              <w:left w:w="15" w:type="dxa"/>
              <w:right w:w="15" w:type="dxa"/>
            </w:tcMar>
            <w:vAlign w:val="center"/>
          </w:tcPr>
          <w:p w14:paraId="53E8F6CC">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2"/>
                <w:sz w:val="23"/>
                <w:szCs w:val="23"/>
                <w:highlight w:val="none"/>
                <w:lang w:val="en-US" w:eastAsia="zh-CN" w:bidi="ar-SA"/>
              </w:rPr>
            </w:pPr>
            <w:r>
              <w:rPr>
                <w:rFonts w:hint="default" w:ascii="Times New Roman" w:hAnsi="Times New Roman" w:eastAsia="宋体" w:cs="Times New Roman"/>
                <w:b w:val="0"/>
                <w:i w:val="0"/>
                <w:color w:val="auto"/>
                <w:sz w:val="23"/>
                <w:szCs w:val="23"/>
                <w:lang w:val="en-US" w:eastAsia="zh-CN"/>
              </w:rPr>
              <w:t>-</w:t>
            </w:r>
          </w:p>
        </w:tc>
        <w:tc>
          <w:tcPr>
            <w:tcW w:w="785" w:type="dxa"/>
            <w:noWrap w:val="0"/>
            <w:tcMar>
              <w:top w:w="15" w:type="dxa"/>
              <w:left w:w="15" w:type="dxa"/>
              <w:right w:w="15" w:type="dxa"/>
            </w:tcMar>
            <w:vAlign w:val="center"/>
          </w:tcPr>
          <w:p w14:paraId="4955AF58">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center"/>
              <w:textAlignment w:val="center"/>
              <w:rPr>
                <w:rFonts w:hint="default" w:ascii="Times New Roman" w:hAnsi="Times New Roman" w:eastAsia="宋体" w:cs="Times New Roman"/>
                <w:b w:val="0"/>
                <w:i w:val="0"/>
                <w:color w:val="auto"/>
                <w:kern w:val="0"/>
                <w:sz w:val="23"/>
                <w:szCs w:val="23"/>
                <w:highlight w:val="none"/>
                <w:lang w:val="en-US" w:eastAsia="zh-CN" w:bidi="ar"/>
              </w:rPr>
            </w:pPr>
            <w:r>
              <w:rPr>
                <w:rFonts w:hint="default" w:ascii="Times New Roman" w:hAnsi="Times New Roman" w:eastAsia="宋体" w:cs="Times New Roman"/>
                <w:b w:val="0"/>
                <w:i w:val="0"/>
                <w:color w:val="auto"/>
                <w:kern w:val="2"/>
                <w:sz w:val="23"/>
                <w:szCs w:val="23"/>
                <w:highlight w:val="none"/>
                <w:lang w:val="en-US" w:eastAsia="zh-CN" w:bidi="ar-SA"/>
              </w:rPr>
              <w:t>约束性</w:t>
            </w:r>
          </w:p>
        </w:tc>
      </w:tr>
    </w:tbl>
    <w:p w14:paraId="46E0F7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center"/>
        <w:rPr>
          <w:rFonts w:hint="default" w:ascii="Times New Roman" w:hAnsi="Times New Roman" w:eastAsia="宋体" w:cs="Times New Roman"/>
          <w:color w:val="auto"/>
          <w:sz w:val="23"/>
          <w:szCs w:val="23"/>
          <w:lang w:val="en-US" w:eastAsia="zh-CN"/>
        </w:rPr>
      </w:pPr>
      <w:r>
        <w:rPr>
          <w:rFonts w:hint="default" w:ascii="Times New Roman" w:hAnsi="Times New Roman" w:eastAsia="宋体" w:cs="Times New Roman"/>
          <w:color w:val="auto"/>
          <w:sz w:val="23"/>
          <w:szCs w:val="23"/>
          <w:lang w:val="en-US" w:eastAsia="zh-CN"/>
        </w:rPr>
        <w:t>注：</w:t>
      </w:r>
      <w:r>
        <w:rPr>
          <w:rFonts w:hint="default" w:ascii="Times New Roman" w:hAnsi="Times New Roman" w:eastAsia="宋体" w:cs="Times New Roman"/>
          <w:color w:val="auto"/>
          <w:sz w:val="23"/>
          <w:szCs w:val="23"/>
          <w:highlight w:val="none"/>
          <w:lang w:val="en-US" w:eastAsia="zh-CN"/>
        </w:rPr>
        <w:t>[ ]内数据为五年累计数，*为上级下达目标</w:t>
      </w:r>
    </w:p>
    <w:p w14:paraId="0FFB1142">
      <w:pPr>
        <w:pStyle w:val="6"/>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top"/>
        <w:rPr>
          <w:rFonts w:hint="eastAsia" w:ascii="CESI黑体-GB2312" w:hAnsi="CESI黑体-GB2312" w:eastAsia="CESI黑体-GB2312" w:cs="CESI黑体-GB2312"/>
          <w:b w:val="0"/>
          <w:bCs/>
          <w:color w:val="auto"/>
          <w:lang w:val="en-US" w:eastAsia="zh-CN"/>
        </w:rPr>
      </w:pPr>
      <w:bookmarkStart w:id="38" w:name="_Toc528"/>
      <w:bookmarkStart w:id="39" w:name="_Toc8357"/>
      <w:r>
        <w:rPr>
          <w:rFonts w:hint="eastAsia" w:ascii="CESI黑体-GB2312" w:hAnsi="CESI黑体-GB2312" w:eastAsia="CESI黑体-GB2312" w:cs="CESI黑体-GB2312"/>
          <w:b w:val="0"/>
          <w:bCs/>
          <w:color w:val="auto"/>
          <w:lang w:val="en-US" w:eastAsia="zh-CN"/>
        </w:rPr>
        <w:t>第五节  空间布局</w:t>
      </w:r>
      <w:bookmarkEnd w:id="38"/>
      <w:bookmarkEnd w:id="39"/>
    </w:p>
    <w:p w14:paraId="5688896C">
      <w:pPr>
        <w:pStyle w:val="7"/>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firstLine="632" w:firstLineChars="200"/>
        <w:jc w:val="both"/>
        <w:textAlignment w:val="center"/>
        <w:rPr>
          <w:rFonts w:hint="default" w:ascii="Times New Roman" w:hAnsi="Times New Roman" w:eastAsia="黑体" w:cs="Times New Roman"/>
          <w:b w:val="0"/>
          <w:bCs/>
          <w:color w:val="auto"/>
          <w:sz w:val="32"/>
          <w:szCs w:val="32"/>
          <w:rtl w:val="0"/>
          <w:lang w:val="en-US" w:eastAsia="zh-CN"/>
        </w:rPr>
      </w:pPr>
      <w:bookmarkStart w:id="40" w:name="_Toc17910"/>
      <w:bookmarkStart w:id="41" w:name="_Toc1386"/>
      <w:r>
        <w:rPr>
          <w:rFonts w:hint="default" w:ascii="Times New Roman" w:hAnsi="Times New Roman" w:eastAsia="黑体" w:cs="Times New Roman"/>
          <w:b w:val="0"/>
          <w:bCs/>
          <w:color w:val="auto"/>
          <w:sz w:val="32"/>
          <w:szCs w:val="32"/>
          <w:rtl w:val="0"/>
          <w:lang w:val="en-US" w:eastAsia="zh-CN"/>
        </w:rPr>
        <w:t>一、产业空间布局</w:t>
      </w:r>
      <w:bookmarkEnd w:id="40"/>
      <w:bookmarkEnd w:id="41"/>
    </w:p>
    <w:p w14:paraId="2773E10B">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center"/>
        <w:rPr>
          <w:rFonts w:hint="default" w:ascii="Times New Roman" w:hAnsi="Times New Roman" w:cs="Times New Roman"/>
          <w:color w:val="auto"/>
          <w:szCs w:val="32"/>
          <w:lang w:val="en-US" w:eastAsia="zh-CN"/>
        </w:rPr>
      </w:pPr>
      <w:r>
        <w:rPr>
          <w:rFonts w:hint="default" w:ascii="Times New Roman" w:hAnsi="Times New Roman" w:cs="Times New Roman"/>
          <w:color w:val="auto"/>
          <w:szCs w:val="32"/>
          <w:lang w:val="en-US" w:eastAsia="zh-CN"/>
        </w:rPr>
        <w:t>立足产业基础、资源禀赋、环境容量等条件，突出中心城区核心引领</w:t>
      </w:r>
      <w:r>
        <w:rPr>
          <w:rFonts w:hint="default" w:ascii="Times New Roman" w:hAnsi="Times New Roman" w:cs="Times New Roman"/>
          <w:color w:val="auto"/>
          <w:szCs w:val="32"/>
        </w:rPr>
        <w:t>，</w:t>
      </w:r>
      <w:r>
        <w:rPr>
          <w:rFonts w:hint="default" w:ascii="Times New Roman" w:hAnsi="Times New Roman" w:cs="Times New Roman"/>
          <w:color w:val="auto"/>
          <w:highlight w:val="none"/>
          <w:lang w:val="en-US" w:eastAsia="zh-CN"/>
        </w:rPr>
        <w:t>与兴汉新区、经开区同频共振，</w:t>
      </w:r>
      <w:r>
        <w:rPr>
          <w:rFonts w:hint="default" w:ascii="Times New Roman" w:hAnsi="Times New Roman" w:cs="Times New Roman"/>
          <w:color w:val="auto"/>
          <w:szCs w:val="32"/>
          <w:lang w:val="en-US" w:eastAsia="zh-CN"/>
        </w:rPr>
        <w:t>坚持组团发展，促进产城融合，推动产业链</w:t>
      </w:r>
      <w:r>
        <w:rPr>
          <w:rFonts w:hint="default" w:ascii="Times New Roman" w:hAnsi="Times New Roman" w:eastAsia="仿宋_GB2312" w:cs="Times New Roman"/>
          <w:color w:val="auto"/>
          <w:highlight w:val="none"/>
          <w:lang w:val="en-US" w:eastAsia="zh-CN"/>
        </w:rPr>
        <w:t>互补耦合与产业集群发展，</w:t>
      </w:r>
      <w:r>
        <w:rPr>
          <w:rFonts w:hint="default" w:ascii="Times New Roman" w:hAnsi="Times New Roman" w:cs="Times New Roman"/>
          <w:color w:val="auto"/>
          <w:highlight w:val="none"/>
          <w:lang w:val="en-US" w:eastAsia="zh-CN"/>
        </w:rPr>
        <w:t>构建</w:t>
      </w:r>
      <w:r>
        <w:rPr>
          <w:rFonts w:hint="eastAsia" w:ascii="楷体_GB2312" w:hAnsi="楷体_GB2312" w:eastAsia="楷体_GB2312" w:cs="楷体_GB2312"/>
          <w:b w:val="0"/>
          <w:bCs w:val="0"/>
          <w:color w:val="auto"/>
          <w:szCs w:val="32"/>
          <w:lang w:val="en-US" w:eastAsia="zh-CN"/>
        </w:rPr>
        <w:t>“一核引领、两带串联、五片组团、多点支撑”</w:t>
      </w:r>
      <w:r>
        <w:rPr>
          <w:rFonts w:hint="default" w:ascii="Times New Roman" w:hAnsi="Times New Roman" w:cs="Times New Roman"/>
          <w:color w:val="auto"/>
          <w:szCs w:val="32"/>
          <w:lang w:val="en-US" w:eastAsia="zh-CN"/>
        </w:rPr>
        <w:t>的产业空间新格局。</w:t>
      </w:r>
    </w:p>
    <w:p w14:paraId="2420BF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color w:val="auto"/>
          <w:sz w:val="24"/>
          <w:szCs w:val="24"/>
          <w:lang w:val="en-US" w:eastAsia="zh-CN"/>
        </w:rPr>
      </w:pP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744220</wp:posOffset>
            </wp:positionH>
            <wp:positionV relativeFrom="paragraph">
              <wp:posOffset>50800</wp:posOffset>
            </wp:positionV>
            <wp:extent cx="4549140" cy="5318760"/>
            <wp:effectExtent l="0" t="0" r="3810" b="15240"/>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4549140" cy="5318760"/>
                    </a:xfrm>
                    <a:prstGeom prst="rect">
                      <a:avLst/>
                    </a:prstGeom>
                    <a:noFill/>
                    <a:ln>
                      <a:noFill/>
                    </a:ln>
                  </pic:spPr>
                </pic:pic>
              </a:graphicData>
            </a:graphic>
          </wp:anchor>
        </w:drawing>
      </w:r>
      <w:r>
        <w:rPr>
          <w:rFonts w:hint="default" w:ascii="Times New Roman" w:hAnsi="Times New Roman" w:eastAsia="黑体" w:cs="Times New Roman"/>
          <w:color w:val="auto"/>
          <w:sz w:val="24"/>
          <w:szCs w:val="24"/>
          <w:lang w:val="en-US" w:eastAsia="zh-CN"/>
        </w:rPr>
        <w:t>图1-1  汉台区产业空间布局图</w:t>
      </w:r>
    </w:p>
    <w:p w14:paraId="2E2669F3">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center"/>
        <w:rPr>
          <w:rFonts w:hint="default" w:ascii="Times New Roman" w:hAnsi="Times New Roman" w:eastAsia="楷体_GB2312" w:cs="Times New Roman"/>
          <w:b w:val="0"/>
          <w:bCs/>
          <w:color w:val="auto"/>
          <w:sz w:val="32"/>
          <w:szCs w:val="32"/>
          <w:lang w:val="en-US" w:eastAsia="zh-CN"/>
        </w:rPr>
      </w:pPr>
      <w:r>
        <w:rPr>
          <w:rFonts w:hint="default" w:ascii="Times New Roman" w:hAnsi="Times New Roman" w:eastAsia="楷体_GB2312" w:cs="Times New Roman"/>
          <w:b w:val="0"/>
          <w:bCs/>
          <w:color w:val="auto"/>
          <w:sz w:val="32"/>
          <w:szCs w:val="32"/>
          <w:lang w:val="en-US" w:eastAsia="zh-CN"/>
        </w:rPr>
        <w:t>一核引领：中心城区高质量发展核心。</w:t>
      </w:r>
    </w:p>
    <w:p w14:paraId="2842878E">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center"/>
        <w:rPr>
          <w:rFonts w:hint="default" w:ascii="Times New Roman" w:hAnsi="Times New Roman" w:cs="Times New Roman"/>
          <w:color w:val="auto"/>
          <w:szCs w:val="32"/>
        </w:rPr>
      </w:pPr>
      <w:r>
        <w:rPr>
          <w:rFonts w:hint="default" w:ascii="Times New Roman" w:hAnsi="Times New Roman" w:eastAsia="仿宋_GB2312" w:cs="Times New Roman"/>
          <w:color w:val="auto"/>
          <w:sz w:val="32"/>
          <w:szCs w:val="32"/>
        </w:rPr>
        <w:t>由北关</w:t>
      </w:r>
      <w:r>
        <w:rPr>
          <w:rFonts w:hint="default" w:ascii="Times New Roman" w:hAnsi="Times New Roman" w:cs="Times New Roman"/>
          <w:color w:val="auto"/>
          <w:sz w:val="32"/>
          <w:szCs w:val="32"/>
          <w:lang w:val="en-US" w:eastAsia="zh-CN"/>
        </w:rPr>
        <w:t>街道</w:t>
      </w:r>
      <w:r>
        <w:rPr>
          <w:rFonts w:hint="default" w:ascii="Times New Roman" w:hAnsi="Times New Roman" w:eastAsia="仿宋_GB2312" w:cs="Times New Roman"/>
          <w:color w:val="auto"/>
          <w:sz w:val="32"/>
          <w:szCs w:val="32"/>
        </w:rPr>
        <w:t>、东关</w:t>
      </w:r>
      <w:r>
        <w:rPr>
          <w:rFonts w:hint="default" w:ascii="Times New Roman" w:hAnsi="Times New Roman" w:cs="Times New Roman"/>
          <w:color w:val="auto"/>
          <w:sz w:val="32"/>
          <w:szCs w:val="32"/>
          <w:lang w:val="en-US" w:eastAsia="zh-CN"/>
        </w:rPr>
        <w:t>街道</w:t>
      </w:r>
      <w:r>
        <w:rPr>
          <w:rFonts w:hint="default" w:ascii="Times New Roman" w:hAnsi="Times New Roman" w:eastAsia="仿宋_GB2312" w:cs="Times New Roman"/>
          <w:color w:val="auto"/>
          <w:sz w:val="32"/>
          <w:szCs w:val="32"/>
        </w:rPr>
        <w:t>、东大街</w:t>
      </w:r>
      <w:r>
        <w:rPr>
          <w:rFonts w:hint="default" w:ascii="Times New Roman" w:hAnsi="Times New Roman" w:cs="Times New Roman"/>
          <w:color w:val="auto"/>
          <w:sz w:val="32"/>
          <w:szCs w:val="32"/>
          <w:lang w:val="en-US" w:eastAsia="zh-CN"/>
        </w:rPr>
        <w:t>街道</w:t>
      </w:r>
      <w:r>
        <w:rPr>
          <w:rFonts w:hint="default" w:ascii="Times New Roman" w:hAnsi="Times New Roman" w:eastAsia="仿宋_GB2312" w:cs="Times New Roman"/>
          <w:color w:val="auto"/>
          <w:sz w:val="32"/>
          <w:szCs w:val="32"/>
        </w:rPr>
        <w:t>、汉中路</w:t>
      </w:r>
      <w:r>
        <w:rPr>
          <w:rFonts w:hint="default" w:ascii="Times New Roman" w:hAnsi="Times New Roman" w:cs="Times New Roman"/>
          <w:color w:val="auto"/>
          <w:sz w:val="32"/>
          <w:szCs w:val="32"/>
          <w:lang w:val="en-US" w:eastAsia="zh-CN"/>
        </w:rPr>
        <w:t>街道</w:t>
      </w:r>
      <w:r>
        <w:rPr>
          <w:rFonts w:hint="default" w:ascii="Times New Roman" w:hAnsi="Times New Roman" w:eastAsia="仿宋_GB2312" w:cs="Times New Roman"/>
          <w:color w:val="auto"/>
          <w:sz w:val="32"/>
          <w:szCs w:val="32"/>
        </w:rPr>
        <w:t>、中山街</w:t>
      </w:r>
      <w:r>
        <w:rPr>
          <w:rFonts w:hint="default" w:ascii="Times New Roman" w:hAnsi="Times New Roman" w:cs="Times New Roman"/>
          <w:color w:val="auto"/>
          <w:sz w:val="32"/>
          <w:szCs w:val="32"/>
          <w:lang w:val="en-US" w:eastAsia="zh-CN"/>
        </w:rPr>
        <w:t>街道</w:t>
      </w:r>
      <w:r>
        <w:rPr>
          <w:rFonts w:hint="default" w:ascii="Times New Roman" w:hAnsi="Times New Roman" w:eastAsia="仿宋_GB2312" w:cs="Times New Roman"/>
          <w:color w:val="auto"/>
          <w:sz w:val="32"/>
          <w:szCs w:val="32"/>
        </w:rPr>
        <w:t>、七里</w:t>
      </w:r>
      <w:r>
        <w:rPr>
          <w:rFonts w:hint="default" w:ascii="Times New Roman" w:hAnsi="Times New Roman" w:cs="Times New Roman"/>
          <w:color w:val="auto"/>
          <w:sz w:val="32"/>
          <w:szCs w:val="32"/>
          <w:lang w:val="en-US" w:eastAsia="zh-CN"/>
        </w:rPr>
        <w:t>街道</w:t>
      </w:r>
      <w:r>
        <w:rPr>
          <w:rFonts w:hint="default" w:ascii="Times New Roman" w:hAnsi="Times New Roman" w:eastAsia="仿宋_GB2312" w:cs="Times New Roman"/>
          <w:color w:val="auto"/>
          <w:sz w:val="32"/>
          <w:szCs w:val="32"/>
        </w:rPr>
        <w:t>、龙江</w:t>
      </w:r>
      <w:r>
        <w:rPr>
          <w:rFonts w:hint="default" w:ascii="Times New Roman" w:hAnsi="Times New Roman" w:cs="Times New Roman"/>
          <w:color w:val="auto"/>
          <w:sz w:val="32"/>
          <w:szCs w:val="32"/>
          <w:lang w:val="en-US" w:eastAsia="zh-CN"/>
        </w:rPr>
        <w:t>街道</w:t>
      </w:r>
      <w:r>
        <w:rPr>
          <w:rFonts w:hint="default" w:ascii="Times New Roman" w:hAnsi="Times New Roman" w:eastAsia="仿宋_GB2312" w:cs="Times New Roman"/>
          <w:color w:val="auto"/>
          <w:sz w:val="32"/>
          <w:szCs w:val="32"/>
        </w:rPr>
        <w:t>、鑫源</w:t>
      </w:r>
      <w:r>
        <w:rPr>
          <w:rFonts w:hint="default" w:ascii="Times New Roman" w:hAnsi="Times New Roman" w:cs="Times New Roman"/>
          <w:color w:val="auto"/>
          <w:sz w:val="32"/>
          <w:szCs w:val="32"/>
          <w:lang w:val="en-US" w:eastAsia="zh-CN"/>
        </w:rPr>
        <w:t>街道</w:t>
      </w:r>
      <w:r>
        <w:rPr>
          <w:rFonts w:hint="default" w:ascii="Times New Roman" w:hAnsi="Times New Roman" w:eastAsia="仿宋_GB2312" w:cs="Times New Roman"/>
          <w:color w:val="auto"/>
          <w:sz w:val="32"/>
          <w:szCs w:val="32"/>
        </w:rPr>
        <w:t>8个街道组成的中心城区。</w:t>
      </w:r>
      <w:r>
        <w:rPr>
          <w:rFonts w:hint="default" w:ascii="Times New Roman" w:hAnsi="Times New Roman" w:cs="Times New Roman"/>
          <w:color w:val="auto"/>
          <w:szCs w:val="32"/>
        </w:rPr>
        <w:t>提升整体特色风貌，高标准打造</w:t>
      </w:r>
      <w:r>
        <w:rPr>
          <w:rFonts w:hint="default" w:ascii="Times New Roman" w:hAnsi="Times New Roman" w:cs="Times New Roman"/>
          <w:color w:val="auto"/>
          <w:szCs w:val="32"/>
          <w:lang w:val="en-US" w:eastAsia="zh-CN"/>
        </w:rPr>
        <w:t>核心</w:t>
      </w:r>
      <w:r>
        <w:rPr>
          <w:rFonts w:hint="default" w:ascii="Times New Roman" w:hAnsi="Times New Roman" w:cs="Times New Roman"/>
          <w:color w:val="auto"/>
          <w:szCs w:val="32"/>
        </w:rPr>
        <w:t>商圈、商业综合体、</w:t>
      </w:r>
      <w:r>
        <w:rPr>
          <w:rFonts w:hint="default" w:ascii="Times New Roman" w:hAnsi="Times New Roman" w:cs="Times New Roman"/>
          <w:color w:val="auto"/>
          <w:szCs w:val="32"/>
          <w:lang w:val="en-US" w:eastAsia="zh-CN"/>
        </w:rPr>
        <w:t>特色街区，</w:t>
      </w:r>
      <w:r>
        <w:rPr>
          <w:rFonts w:hint="default" w:ascii="Times New Roman" w:hAnsi="Times New Roman" w:cs="Times New Roman"/>
          <w:color w:val="auto"/>
          <w:szCs w:val="32"/>
        </w:rPr>
        <w:t>建</w:t>
      </w:r>
      <w:r>
        <w:rPr>
          <w:rFonts w:hint="default" w:ascii="Times New Roman" w:hAnsi="Times New Roman" w:cs="Times New Roman"/>
          <w:color w:val="auto"/>
          <w:szCs w:val="32"/>
          <w:lang w:eastAsia="zh-CN"/>
        </w:rPr>
        <w:t>设</w:t>
      </w:r>
      <w:r>
        <w:rPr>
          <w:rFonts w:hint="default" w:ascii="Times New Roman" w:hAnsi="Times New Roman" w:cs="Times New Roman"/>
          <w:color w:val="auto"/>
          <w:szCs w:val="32"/>
        </w:rPr>
        <w:t>现代金融、现代商务、科技服务、信息服务</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lang w:val="en-US" w:eastAsia="zh-CN"/>
        </w:rPr>
        <w:t>总部经济</w:t>
      </w:r>
      <w:r>
        <w:rPr>
          <w:rFonts w:hint="default" w:ascii="Times New Roman" w:hAnsi="Times New Roman" w:cs="Times New Roman"/>
          <w:color w:val="auto"/>
          <w:szCs w:val="32"/>
        </w:rPr>
        <w:t>等商务功能区，</w:t>
      </w:r>
      <w:r>
        <w:rPr>
          <w:rFonts w:hint="default" w:ascii="Times New Roman" w:hAnsi="Times New Roman" w:eastAsia="仿宋_GB2312" w:cs="Times New Roman"/>
          <w:color w:val="auto"/>
          <w:sz w:val="32"/>
          <w:szCs w:val="32"/>
        </w:rPr>
        <w:t>聚集发展</w:t>
      </w:r>
      <w:r>
        <w:rPr>
          <w:rFonts w:hint="default" w:ascii="Times New Roman" w:hAnsi="Times New Roman" w:cs="Times New Roman"/>
          <w:color w:val="auto"/>
          <w:sz w:val="32"/>
          <w:szCs w:val="32"/>
          <w:lang w:val="en-US" w:eastAsia="zh-CN"/>
        </w:rPr>
        <w:t>文化旅游、</w:t>
      </w:r>
      <w:r>
        <w:rPr>
          <w:rFonts w:hint="default" w:ascii="Times New Roman" w:hAnsi="Times New Roman" w:eastAsia="仿宋_GB2312" w:cs="Times New Roman"/>
          <w:color w:val="auto"/>
          <w:sz w:val="32"/>
          <w:szCs w:val="32"/>
        </w:rPr>
        <w:t>商贸</w:t>
      </w:r>
      <w:r>
        <w:rPr>
          <w:rFonts w:hint="default" w:ascii="Times New Roman" w:hAnsi="Times New Roman" w:cs="Times New Roman"/>
          <w:color w:val="auto"/>
          <w:sz w:val="32"/>
          <w:szCs w:val="32"/>
          <w:lang w:val="en-US" w:eastAsia="zh-CN"/>
        </w:rPr>
        <w:t>物流</w:t>
      </w:r>
      <w:r>
        <w:rPr>
          <w:rFonts w:hint="default" w:ascii="Times New Roman" w:hAnsi="Times New Roman" w:eastAsia="仿宋_GB2312" w:cs="Times New Roman"/>
          <w:color w:val="auto"/>
          <w:sz w:val="32"/>
          <w:szCs w:val="32"/>
        </w:rPr>
        <w:t>、餐饮住宿、</w:t>
      </w:r>
      <w:r>
        <w:rPr>
          <w:rFonts w:hint="default" w:ascii="Times New Roman" w:hAnsi="Times New Roman" w:cs="Times New Roman"/>
          <w:color w:val="auto"/>
          <w:sz w:val="32"/>
          <w:szCs w:val="32"/>
          <w:lang w:val="en-US" w:eastAsia="zh-CN"/>
        </w:rPr>
        <w:t>现代</w:t>
      </w:r>
      <w:r>
        <w:rPr>
          <w:rFonts w:hint="default" w:ascii="Times New Roman" w:hAnsi="Times New Roman" w:eastAsia="仿宋_GB2312" w:cs="Times New Roman"/>
          <w:color w:val="auto"/>
          <w:sz w:val="32"/>
          <w:szCs w:val="32"/>
        </w:rPr>
        <w:t>金融、</w:t>
      </w:r>
      <w:r>
        <w:rPr>
          <w:rFonts w:hint="default" w:ascii="Times New Roman" w:hAnsi="Times New Roman" w:cs="Times New Roman"/>
          <w:color w:val="auto"/>
          <w:sz w:val="32"/>
          <w:szCs w:val="32"/>
          <w:lang w:val="en-US" w:eastAsia="zh-CN"/>
        </w:rPr>
        <w:t>科技服务、数字经济等产业</w:t>
      </w:r>
      <w:r>
        <w:rPr>
          <w:rFonts w:hint="default" w:ascii="Times New Roman" w:hAnsi="Times New Roman" w:eastAsia="仿宋_GB2312" w:cs="Times New Roman"/>
          <w:color w:val="auto"/>
          <w:sz w:val="32"/>
          <w:szCs w:val="32"/>
        </w:rPr>
        <w:t>，提升综合服务能力和城市品位，</w:t>
      </w:r>
      <w:r>
        <w:rPr>
          <w:rFonts w:hint="default" w:ascii="Times New Roman" w:hAnsi="Times New Roman" w:cs="Times New Roman"/>
          <w:color w:val="auto"/>
          <w:szCs w:val="32"/>
        </w:rPr>
        <w:t>增强</w:t>
      </w:r>
      <w:r>
        <w:rPr>
          <w:rFonts w:hint="default" w:ascii="Times New Roman" w:hAnsi="Times New Roman" w:cs="Times New Roman"/>
          <w:color w:val="auto"/>
          <w:szCs w:val="32"/>
          <w:lang w:val="en-US" w:eastAsia="zh-CN"/>
        </w:rPr>
        <w:t>城市</w:t>
      </w:r>
      <w:r>
        <w:rPr>
          <w:rFonts w:hint="default" w:ascii="Times New Roman" w:hAnsi="Times New Roman" w:cs="Times New Roman"/>
          <w:color w:val="auto"/>
          <w:szCs w:val="32"/>
        </w:rPr>
        <w:t>承载能力，引领</w:t>
      </w:r>
      <w:r>
        <w:rPr>
          <w:rFonts w:hint="default" w:ascii="Times New Roman" w:hAnsi="Times New Roman" w:cs="Times New Roman"/>
          <w:color w:val="auto"/>
          <w:szCs w:val="32"/>
          <w:lang w:val="en-US" w:eastAsia="zh-CN"/>
        </w:rPr>
        <w:t>区域</w:t>
      </w:r>
      <w:r>
        <w:rPr>
          <w:rFonts w:hint="default" w:ascii="Times New Roman" w:hAnsi="Times New Roman" w:cs="Times New Roman"/>
          <w:color w:val="auto"/>
          <w:szCs w:val="32"/>
        </w:rPr>
        <w:t>经济高质量发展。</w:t>
      </w:r>
    </w:p>
    <w:p w14:paraId="53F865D5">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center"/>
        <w:rPr>
          <w:rFonts w:hint="default" w:ascii="Times New Roman" w:hAnsi="Times New Roman" w:eastAsia="楷体_GB2312" w:cs="Times New Roman"/>
          <w:b w:val="0"/>
          <w:bCs/>
          <w:color w:val="auto"/>
          <w:sz w:val="32"/>
          <w:szCs w:val="32"/>
          <w:lang w:val="en-US" w:eastAsia="zh-CN"/>
        </w:rPr>
      </w:pPr>
      <w:r>
        <w:rPr>
          <w:rFonts w:hint="default" w:ascii="Times New Roman" w:hAnsi="Times New Roman" w:eastAsia="楷体_GB2312" w:cs="Times New Roman"/>
          <w:b w:val="0"/>
          <w:bCs/>
          <w:color w:val="auto"/>
          <w:sz w:val="32"/>
          <w:szCs w:val="32"/>
          <w:lang w:val="en-US" w:eastAsia="zh-CN"/>
        </w:rPr>
        <w:t>两带串联：北部生态经济产业带、中部乡村振兴优势产业带。</w:t>
      </w:r>
    </w:p>
    <w:p w14:paraId="0CD01205">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center"/>
        <w:rPr>
          <w:rFonts w:hint="default" w:ascii="Times New Roman" w:hAnsi="Times New Roman" w:eastAsia="仿宋_GB2312" w:cs="Times New Roman"/>
          <w:color w:val="auto"/>
          <w:sz w:val="32"/>
          <w:szCs w:val="32"/>
        </w:rPr>
      </w:pPr>
      <w:r>
        <w:rPr>
          <w:rFonts w:hint="eastAsia" w:ascii="Times New Roman" w:hAnsi="Times New Roman" w:eastAsia="楷体_GB2312" w:cs="Times New Roman"/>
          <w:b w:val="0"/>
          <w:bCs/>
          <w:color w:val="auto"/>
          <w:sz w:val="32"/>
          <w:szCs w:val="32"/>
          <w:lang w:val="en-US" w:eastAsia="zh-CN"/>
        </w:rPr>
        <w:t>——</w:t>
      </w:r>
      <w:r>
        <w:rPr>
          <w:rFonts w:hint="default" w:ascii="Times New Roman" w:hAnsi="Times New Roman" w:eastAsia="楷体_GB2312" w:cs="Times New Roman"/>
          <w:b w:val="0"/>
          <w:bCs/>
          <w:color w:val="auto"/>
          <w:sz w:val="32"/>
          <w:szCs w:val="32"/>
          <w:lang w:val="en-US" w:eastAsia="zh-CN"/>
        </w:rPr>
        <w:t>北部生态经济产业带。</w:t>
      </w:r>
      <w:r>
        <w:rPr>
          <w:rFonts w:hint="default" w:ascii="Times New Roman" w:hAnsi="Times New Roman" w:cs="Times New Roman"/>
          <w:color w:val="auto"/>
          <w:szCs w:val="32"/>
        </w:rPr>
        <w:t>沿河东店</w:t>
      </w:r>
      <w:r>
        <w:rPr>
          <w:rFonts w:hint="default" w:ascii="Times New Roman" w:hAnsi="Times New Roman" w:cs="Times New Roman"/>
          <w:color w:val="auto"/>
          <w:szCs w:val="32"/>
          <w:lang w:val="en-US" w:eastAsia="zh-CN"/>
        </w:rPr>
        <w:t>镇</w:t>
      </w:r>
      <w:r>
        <w:rPr>
          <w:rFonts w:hint="default" w:ascii="Times New Roman" w:hAnsi="Times New Roman" w:cs="Times New Roman"/>
          <w:color w:val="auto"/>
          <w:szCs w:val="32"/>
        </w:rPr>
        <w:t>、武乡</w:t>
      </w:r>
      <w:r>
        <w:rPr>
          <w:rFonts w:hint="default" w:ascii="Times New Roman" w:hAnsi="Times New Roman" w:cs="Times New Roman"/>
          <w:color w:val="auto"/>
          <w:szCs w:val="32"/>
          <w:lang w:val="en-US" w:eastAsia="zh-CN"/>
        </w:rPr>
        <w:t>镇</w:t>
      </w:r>
      <w:r>
        <w:rPr>
          <w:rFonts w:hint="default" w:ascii="Times New Roman" w:hAnsi="Times New Roman" w:cs="Times New Roman"/>
          <w:color w:val="auto"/>
          <w:szCs w:val="32"/>
        </w:rPr>
        <w:t>、汉王</w:t>
      </w:r>
      <w:r>
        <w:rPr>
          <w:rFonts w:hint="default" w:ascii="Times New Roman" w:hAnsi="Times New Roman" w:cs="Times New Roman"/>
          <w:color w:val="auto"/>
          <w:szCs w:val="32"/>
          <w:lang w:val="en-US" w:eastAsia="zh-CN"/>
        </w:rPr>
        <w:t>镇北部</w:t>
      </w:r>
      <w:r>
        <w:rPr>
          <w:rFonts w:hint="default" w:ascii="Times New Roman" w:hAnsi="Times New Roman" w:cs="Times New Roman"/>
          <w:color w:val="auto"/>
          <w:szCs w:val="32"/>
        </w:rPr>
        <w:t>建设生态保护</w:t>
      </w:r>
      <w:r>
        <w:rPr>
          <w:rFonts w:hint="default" w:ascii="Times New Roman" w:hAnsi="Times New Roman" w:cs="Times New Roman"/>
          <w:color w:val="auto"/>
          <w:szCs w:val="32"/>
          <w:lang w:val="en-US" w:eastAsia="zh-CN"/>
        </w:rPr>
        <w:t>屏障</w:t>
      </w:r>
      <w:r>
        <w:rPr>
          <w:rFonts w:hint="default" w:ascii="Times New Roman" w:hAnsi="Times New Roman" w:cs="Times New Roman"/>
          <w:color w:val="auto"/>
          <w:szCs w:val="32"/>
        </w:rPr>
        <w:t>，强化森林、湿地保护，加强水源涵养，维护生物多样性，守住生态安全屏障。</w:t>
      </w:r>
      <w:r>
        <w:rPr>
          <w:rFonts w:hint="default" w:ascii="Times New Roman" w:hAnsi="Times New Roman" w:cs="Times New Roman"/>
          <w:color w:val="auto"/>
          <w:szCs w:val="32"/>
          <w:lang w:val="en-US" w:eastAsia="zh-CN"/>
        </w:rPr>
        <w:t>挖掘生态资源价值，</w:t>
      </w:r>
      <w:r>
        <w:rPr>
          <w:rFonts w:hint="default" w:ascii="Times New Roman" w:hAnsi="Times New Roman" w:cs="Times New Roman"/>
          <w:color w:val="auto"/>
          <w:szCs w:val="32"/>
        </w:rPr>
        <w:t>推动天台国家森林公园</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lang w:val="en-US" w:eastAsia="zh-CN"/>
        </w:rPr>
        <w:t>黄花河景区、武乡镇</w:t>
      </w:r>
      <w:r>
        <w:rPr>
          <w:rFonts w:hint="default" w:ascii="Times New Roman" w:hAnsi="Times New Roman" w:cs="Times New Roman"/>
          <w:color w:val="auto"/>
          <w:szCs w:val="32"/>
          <w:rtl w:val="0"/>
          <w:lang w:val="en-US" w:eastAsia="zh-CN"/>
        </w:rPr>
        <w:t>省级历史文化古镇、河东店镇文旅医养名镇等相互融合发展，</w:t>
      </w:r>
      <w:r>
        <w:rPr>
          <w:rFonts w:hint="default" w:ascii="Times New Roman" w:hAnsi="Times New Roman" w:cs="Times New Roman"/>
          <w:color w:val="auto"/>
          <w:szCs w:val="32"/>
          <w:lang w:val="en-US" w:eastAsia="zh-CN"/>
        </w:rPr>
        <w:t>积极</w:t>
      </w:r>
      <w:r>
        <w:rPr>
          <w:rFonts w:hint="default" w:ascii="Times New Roman" w:hAnsi="Times New Roman" w:cs="Times New Roman"/>
          <w:color w:val="auto"/>
          <w:szCs w:val="32"/>
        </w:rPr>
        <w:t>发展生态旅游、</w:t>
      </w:r>
      <w:r>
        <w:rPr>
          <w:rFonts w:hint="default" w:ascii="Times New Roman" w:hAnsi="Times New Roman" w:cs="Times New Roman"/>
          <w:color w:val="auto"/>
          <w:szCs w:val="32"/>
          <w:lang w:val="en-US" w:eastAsia="zh-CN"/>
        </w:rPr>
        <w:t>康养产业、乡村旅游、</w:t>
      </w:r>
      <w:r>
        <w:rPr>
          <w:rFonts w:hint="default" w:ascii="Times New Roman" w:hAnsi="Times New Roman" w:cs="Times New Roman"/>
          <w:color w:val="auto"/>
          <w:szCs w:val="32"/>
        </w:rPr>
        <w:t>特色林果等产业，</w:t>
      </w:r>
      <w:r>
        <w:rPr>
          <w:rFonts w:hint="default" w:ascii="Times New Roman" w:hAnsi="Times New Roman" w:eastAsia="仿宋_GB2312" w:cs="Times New Roman"/>
          <w:color w:val="auto"/>
          <w:sz w:val="32"/>
          <w:szCs w:val="32"/>
        </w:rPr>
        <w:t>打造</w:t>
      </w:r>
      <w:r>
        <w:rPr>
          <w:rFonts w:hint="default" w:ascii="Times New Roman" w:hAnsi="Times New Roman" w:cs="Times New Roman"/>
          <w:color w:val="auto"/>
          <w:sz w:val="32"/>
          <w:szCs w:val="32"/>
          <w:lang w:val="en-US" w:eastAsia="zh-CN"/>
        </w:rPr>
        <w:t>生态</w:t>
      </w:r>
      <w:r>
        <w:rPr>
          <w:rFonts w:hint="default" w:ascii="Times New Roman" w:hAnsi="Times New Roman" w:eastAsia="仿宋_GB2312" w:cs="Times New Roman"/>
          <w:color w:val="auto"/>
          <w:sz w:val="32"/>
          <w:szCs w:val="32"/>
        </w:rPr>
        <w:t>经济增长带。</w:t>
      </w:r>
    </w:p>
    <w:p w14:paraId="7335C531">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center"/>
        <w:rPr>
          <w:rFonts w:hint="default" w:ascii="Times New Roman" w:hAnsi="Times New Roman" w:cs="Times New Roman"/>
          <w:color w:val="auto"/>
          <w:szCs w:val="32"/>
        </w:rPr>
      </w:pPr>
      <w:r>
        <w:rPr>
          <w:rFonts w:hint="eastAsia" w:ascii="Times New Roman" w:hAnsi="Times New Roman" w:eastAsia="楷体_GB2312" w:cs="Times New Roman"/>
          <w:b w:val="0"/>
          <w:bCs/>
          <w:color w:val="auto"/>
          <w:sz w:val="32"/>
          <w:szCs w:val="32"/>
          <w:lang w:val="en-US" w:eastAsia="zh-CN"/>
        </w:rPr>
        <w:t>——</w:t>
      </w:r>
      <w:r>
        <w:rPr>
          <w:rFonts w:hint="default" w:ascii="Times New Roman" w:hAnsi="Times New Roman" w:eastAsia="楷体_GB2312" w:cs="Times New Roman"/>
          <w:b w:val="0"/>
          <w:bCs/>
          <w:color w:val="auto"/>
          <w:sz w:val="32"/>
          <w:szCs w:val="32"/>
          <w:lang w:val="en-US" w:eastAsia="zh-CN"/>
        </w:rPr>
        <w:t>中部乡村振兴优势产业带。</w:t>
      </w:r>
      <w:r>
        <w:rPr>
          <w:rFonts w:hint="default" w:ascii="Times New Roman" w:hAnsi="Times New Roman" w:cs="Times New Roman"/>
          <w:color w:val="auto"/>
          <w:szCs w:val="32"/>
        </w:rPr>
        <w:t>贯穿宗营</w:t>
      </w:r>
      <w:r>
        <w:rPr>
          <w:rFonts w:hint="default" w:ascii="Times New Roman" w:hAnsi="Times New Roman" w:cs="Times New Roman"/>
          <w:color w:val="auto"/>
          <w:szCs w:val="32"/>
          <w:lang w:val="en-US" w:eastAsia="zh-CN"/>
        </w:rPr>
        <w:t>镇</w:t>
      </w:r>
      <w:r>
        <w:rPr>
          <w:rFonts w:hint="default" w:ascii="Times New Roman" w:hAnsi="Times New Roman" w:cs="Times New Roman"/>
          <w:color w:val="auto"/>
          <w:szCs w:val="32"/>
        </w:rPr>
        <w:t>、老君</w:t>
      </w:r>
      <w:r>
        <w:rPr>
          <w:rFonts w:hint="default" w:ascii="Times New Roman" w:hAnsi="Times New Roman" w:cs="Times New Roman"/>
          <w:color w:val="auto"/>
          <w:szCs w:val="32"/>
          <w:lang w:val="en-US" w:eastAsia="zh-CN"/>
        </w:rPr>
        <w:t>镇</w:t>
      </w:r>
      <w:r>
        <w:rPr>
          <w:rFonts w:hint="default" w:ascii="Times New Roman" w:hAnsi="Times New Roman" w:cs="Times New Roman"/>
          <w:color w:val="auto"/>
          <w:szCs w:val="32"/>
        </w:rPr>
        <w:t>、徐望</w:t>
      </w:r>
      <w:r>
        <w:rPr>
          <w:rFonts w:hint="default" w:ascii="Times New Roman" w:hAnsi="Times New Roman" w:cs="Times New Roman"/>
          <w:color w:val="auto"/>
          <w:szCs w:val="32"/>
          <w:lang w:val="en-US" w:eastAsia="zh-CN"/>
        </w:rPr>
        <w:t>镇</w:t>
      </w:r>
      <w:r>
        <w:rPr>
          <w:rFonts w:hint="default" w:ascii="Times New Roman" w:hAnsi="Times New Roman" w:cs="Times New Roman"/>
          <w:color w:val="auto"/>
          <w:szCs w:val="32"/>
        </w:rPr>
        <w:t>、汉王</w:t>
      </w:r>
      <w:r>
        <w:rPr>
          <w:rFonts w:hint="default" w:ascii="Times New Roman" w:hAnsi="Times New Roman" w:cs="Times New Roman"/>
          <w:color w:val="auto"/>
          <w:szCs w:val="32"/>
          <w:lang w:val="en-US" w:eastAsia="zh-CN"/>
        </w:rPr>
        <w:t>镇南部</w:t>
      </w:r>
      <w:r>
        <w:rPr>
          <w:rFonts w:hint="default" w:ascii="Times New Roman" w:hAnsi="Times New Roman" w:cs="Times New Roman"/>
          <w:color w:val="auto"/>
          <w:szCs w:val="32"/>
        </w:rPr>
        <w:t>等区域，建设</w:t>
      </w:r>
      <w:r>
        <w:rPr>
          <w:rFonts w:hint="default" w:ascii="Times New Roman" w:hAnsi="Times New Roman" w:cs="Times New Roman"/>
          <w:color w:val="auto"/>
          <w:szCs w:val="32"/>
          <w:lang w:val="en-US" w:eastAsia="zh-CN"/>
        </w:rPr>
        <w:t>宜居宜业和美</w:t>
      </w:r>
      <w:r>
        <w:rPr>
          <w:rFonts w:hint="default" w:ascii="Times New Roman" w:hAnsi="Times New Roman" w:cs="Times New Roman"/>
          <w:color w:val="auto"/>
          <w:szCs w:val="32"/>
        </w:rPr>
        <w:t>乡村，提升居民生活品质，因地制宜发展生态农业、乡村旅游、</w:t>
      </w:r>
      <w:r>
        <w:rPr>
          <w:rFonts w:hint="default" w:ascii="Times New Roman" w:hAnsi="Times New Roman" w:cs="Times New Roman"/>
          <w:color w:val="auto"/>
          <w:szCs w:val="32"/>
          <w:lang w:val="en-US" w:eastAsia="zh-CN"/>
        </w:rPr>
        <w:t>生态康养</w:t>
      </w:r>
      <w:r>
        <w:rPr>
          <w:rFonts w:hint="default" w:ascii="Times New Roman" w:hAnsi="Times New Roman" w:cs="Times New Roman"/>
          <w:color w:val="auto"/>
          <w:szCs w:val="32"/>
        </w:rPr>
        <w:t>等产业，加快一二三产业融合发展，打造汉中城市后花园。</w:t>
      </w:r>
    </w:p>
    <w:p w14:paraId="00124A77">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center"/>
        <w:rPr>
          <w:rFonts w:hint="default" w:ascii="Times New Roman" w:hAnsi="Times New Roman" w:eastAsia="楷体_GB2312" w:cs="Times New Roman"/>
          <w:b w:val="0"/>
          <w:bCs/>
          <w:color w:val="auto"/>
          <w:sz w:val="32"/>
          <w:szCs w:val="32"/>
          <w:lang w:val="en-US" w:eastAsia="zh-CN"/>
        </w:rPr>
      </w:pPr>
      <w:r>
        <w:rPr>
          <w:rFonts w:hint="default" w:ascii="Times New Roman" w:hAnsi="Times New Roman" w:eastAsia="楷体_GB2312" w:cs="Times New Roman"/>
          <w:b w:val="0"/>
          <w:bCs/>
          <w:color w:val="auto"/>
          <w:sz w:val="32"/>
          <w:szCs w:val="32"/>
          <w:lang w:val="en-US" w:eastAsia="zh-CN"/>
        </w:rPr>
        <w:t>五片组团：兴汉文旅康养产业片区、滨江都市服务产业片区、铺镇高新技术产业片区、经开先进制造产业片区、城东科技创新产业片区。</w:t>
      </w:r>
    </w:p>
    <w:p w14:paraId="16FA1D80">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center"/>
        <w:rPr>
          <w:rFonts w:hint="default" w:ascii="Times New Roman" w:hAnsi="Times New Roman" w:cs="Times New Roman"/>
          <w:color w:val="auto"/>
          <w:szCs w:val="32"/>
          <w:highlight w:val="none"/>
          <w:lang w:val="en-US" w:eastAsia="zh-CN"/>
        </w:rPr>
      </w:pPr>
      <w:r>
        <w:rPr>
          <w:rFonts w:hint="eastAsia" w:ascii="Times New Roman" w:hAnsi="Times New Roman" w:eastAsia="楷体_GB2312" w:cs="Times New Roman"/>
          <w:b w:val="0"/>
          <w:bCs/>
          <w:color w:val="auto"/>
          <w:sz w:val="32"/>
          <w:szCs w:val="32"/>
          <w:lang w:val="en-US" w:eastAsia="zh-CN"/>
        </w:rPr>
        <w:t>——</w:t>
      </w:r>
      <w:r>
        <w:rPr>
          <w:rFonts w:hint="default" w:ascii="Times New Roman" w:hAnsi="Times New Roman" w:eastAsia="楷体_GB2312" w:cs="Times New Roman"/>
          <w:b w:val="0"/>
          <w:bCs/>
          <w:color w:val="auto"/>
          <w:sz w:val="32"/>
          <w:szCs w:val="32"/>
          <w:lang w:val="en-US" w:eastAsia="zh-CN"/>
        </w:rPr>
        <w:t>兴汉文旅康养产业片区。</w:t>
      </w:r>
      <w:r>
        <w:rPr>
          <w:rFonts w:hint="default" w:ascii="Times New Roman" w:hAnsi="Times New Roman" w:cs="Times New Roman"/>
          <w:color w:val="auto"/>
          <w:szCs w:val="32"/>
          <w:highlight w:val="none"/>
          <w:lang w:val="en-US" w:eastAsia="zh-CN"/>
        </w:rPr>
        <w:t>挖掘历史文化内涵，创新开发模式，以汉文化旅游建筑群为载体，推动文化体验升级与产业融合，重点发展文化旅游、商贸会展、康养旅居、数字文化、轻工制造等产业，打造文化流量与康养价值核心</w:t>
      </w:r>
      <w:r>
        <w:rPr>
          <w:rFonts w:hint="default" w:ascii="Times New Roman" w:hAnsi="Times New Roman" w:cs="Times New Roman"/>
          <w:color w:val="auto"/>
          <w:szCs w:val="32"/>
          <w:highlight w:val="none"/>
          <w:lang w:eastAsia="zh-CN"/>
        </w:rPr>
        <w:t>。</w:t>
      </w:r>
    </w:p>
    <w:p w14:paraId="22425660">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center"/>
        <w:rPr>
          <w:rFonts w:hint="default" w:ascii="Times New Roman" w:hAnsi="Times New Roman" w:cs="Times New Roman"/>
          <w:color w:val="auto"/>
          <w:szCs w:val="32"/>
        </w:rPr>
      </w:pPr>
      <w:r>
        <w:rPr>
          <w:rFonts w:hint="eastAsia" w:ascii="Times New Roman" w:hAnsi="Times New Roman" w:eastAsia="楷体_GB2312" w:cs="Times New Roman"/>
          <w:b w:val="0"/>
          <w:bCs/>
          <w:color w:val="auto"/>
          <w:sz w:val="32"/>
          <w:szCs w:val="32"/>
          <w:lang w:val="en-US" w:eastAsia="zh-CN"/>
        </w:rPr>
        <w:t>——</w:t>
      </w:r>
      <w:r>
        <w:rPr>
          <w:rFonts w:hint="default" w:ascii="Times New Roman" w:hAnsi="Times New Roman" w:eastAsia="楷体_GB2312" w:cs="Times New Roman"/>
          <w:b w:val="0"/>
          <w:bCs/>
          <w:color w:val="auto"/>
          <w:sz w:val="32"/>
          <w:szCs w:val="32"/>
          <w:lang w:val="en-US" w:eastAsia="zh-CN"/>
        </w:rPr>
        <w:t>滨江文化创意产业片区。</w:t>
      </w:r>
      <w:r>
        <w:rPr>
          <w:rFonts w:hint="default" w:ascii="Times New Roman" w:hAnsi="Times New Roman" w:cs="Times New Roman"/>
          <w:color w:val="auto"/>
          <w:szCs w:val="32"/>
          <w:highlight w:val="none"/>
          <w:lang w:val="en-US" w:eastAsia="zh-CN"/>
        </w:rPr>
        <w:t>依托</w:t>
      </w:r>
      <w:r>
        <w:rPr>
          <w:rFonts w:hint="eastAsia" w:cs="Times New Roman"/>
          <w:color w:val="auto"/>
          <w:szCs w:val="32"/>
          <w:highlight w:val="none"/>
          <w:lang w:val="en-US" w:eastAsia="zh-CN"/>
        </w:rPr>
        <w:t>“</w:t>
      </w:r>
      <w:r>
        <w:rPr>
          <w:rFonts w:hint="default" w:ascii="Times New Roman" w:hAnsi="Times New Roman" w:cs="Times New Roman"/>
          <w:color w:val="auto"/>
          <w:szCs w:val="32"/>
          <w:highlight w:val="none"/>
          <w:lang w:val="en-US" w:eastAsia="zh-CN"/>
        </w:rPr>
        <w:t>一江两岸</w:t>
      </w:r>
      <w:r>
        <w:rPr>
          <w:rFonts w:hint="eastAsia" w:cs="Times New Roman"/>
          <w:color w:val="auto"/>
          <w:szCs w:val="32"/>
          <w:highlight w:val="none"/>
          <w:lang w:val="en-US" w:eastAsia="zh-CN"/>
        </w:rPr>
        <w:t>”</w:t>
      </w:r>
      <w:r>
        <w:rPr>
          <w:rFonts w:hint="default" w:ascii="Times New Roman" w:hAnsi="Times New Roman" w:cs="Times New Roman"/>
          <w:color w:val="auto"/>
          <w:szCs w:val="32"/>
          <w:highlight w:val="none"/>
          <w:lang w:val="en-US" w:eastAsia="zh-CN"/>
        </w:rPr>
        <w:t>优势，强化生态与人文吸引力，营造高品质创业创新环境，重点提升商业能级，大力发展文化休闲、商贸会展、银发服务、总部经济、信息服务等产业，打造现代服务与都市活力核心。</w:t>
      </w:r>
    </w:p>
    <w:p w14:paraId="6D38DD10">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center"/>
        <w:rPr>
          <w:rFonts w:hint="default" w:ascii="Times New Roman" w:hAnsi="Times New Roman" w:cs="Times New Roman"/>
          <w:color w:val="auto"/>
          <w:szCs w:val="32"/>
        </w:rPr>
      </w:pPr>
      <w:r>
        <w:rPr>
          <w:rFonts w:hint="eastAsia" w:ascii="Times New Roman" w:hAnsi="Times New Roman" w:eastAsia="楷体_GB2312" w:cs="Times New Roman"/>
          <w:b w:val="0"/>
          <w:bCs/>
          <w:color w:val="auto"/>
          <w:sz w:val="32"/>
          <w:szCs w:val="32"/>
          <w:lang w:val="en-US" w:eastAsia="zh-CN"/>
        </w:rPr>
        <w:t>——</w:t>
      </w:r>
      <w:r>
        <w:rPr>
          <w:rFonts w:hint="default" w:ascii="Times New Roman" w:hAnsi="Times New Roman" w:eastAsia="楷体_GB2312" w:cs="Times New Roman"/>
          <w:b w:val="0"/>
          <w:bCs/>
          <w:color w:val="auto"/>
          <w:sz w:val="32"/>
          <w:szCs w:val="32"/>
          <w:lang w:val="en-US" w:eastAsia="zh-CN"/>
        </w:rPr>
        <w:t>铺镇高新技术产业片区。</w:t>
      </w:r>
      <w:r>
        <w:rPr>
          <w:rFonts w:hint="default" w:ascii="Times New Roman" w:hAnsi="Times New Roman" w:cs="Times New Roman"/>
          <w:color w:val="auto"/>
          <w:szCs w:val="32"/>
        </w:rPr>
        <w:t>以市场需求和产业升级趋势为导向，</w:t>
      </w:r>
      <w:r>
        <w:rPr>
          <w:rFonts w:hint="default" w:ascii="Times New Roman" w:hAnsi="Times New Roman" w:cs="Times New Roman"/>
          <w:color w:val="auto"/>
          <w:szCs w:val="32"/>
          <w:lang w:val="en-US" w:eastAsia="zh-CN"/>
        </w:rPr>
        <w:t>聚焦</w:t>
      </w:r>
      <w:r>
        <w:rPr>
          <w:rFonts w:hint="default" w:ascii="Times New Roman" w:hAnsi="Times New Roman" w:cs="Times New Roman"/>
          <w:color w:val="auto"/>
          <w:szCs w:val="32"/>
        </w:rPr>
        <w:t>知识密集型、技术密集型的</w:t>
      </w:r>
      <w:r>
        <w:rPr>
          <w:rFonts w:hint="eastAsia" w:cs="Times New Roman"/>
          <w:color w:val="auto"/>
          <w:szCs w:val="32"/>
          <w:lang w:eastAsia="zh-CN"/>
        </w:rPr>
        <w:t>“</w:t>
      </w:r>
      <w:r>
        <w:rPr>
          <w:rFonts w:hint="default" w:ascii="Times New Roman" w:hAnsi="Times New Roman" w:cs="Times New Roman"/>
          <w:color w:val="auto"/>
          <w:szCs w:val="32"/>
        </w:rPr>
        <w:t>高</w:t>
      </w:r>
      <w:r>
        <w:rPr>
          <w:rFonts w:hint="eastAsia" w:cs="Times New Roman"/>
          <w:color w:val="auto"/>
          <w:szCs w:val="32"/>
          <w:lang w:eastAsia="zh-CN"/>
        </w:rPr>
        <w:t>”“</w:t>
      </w:r>
      <w:r>
        <w:rPr>
          <w:rFonts w:hint="default" w:ascii="Times New Roman" w:hAnsi="Times New Roman" w:cs="Times New Roman"/>
          <w:color w:val="auto"/>
          <w:szCs w:val="32"/>
        </w:rPr>
        <w:t>新</w:t>
      </w:r>
      <w:r>
        <w:rPr>
          <w:rFonts w:hint="eastAsia" w:cs="Times New Roman"/>
          <w:color w:val="auto"/>
          <w:szCs w:val="32"/>
          <w:lang w:eastAsia="zh-CN"/>
        </w:rPr>
        <w:t>”“</w:t>
      </w:r>
      <w:r>
        <w:rPr>
          <w:rFonts w:hint="default" w:ascii="Times New Roman" w:hAnsi="Times New Roman" w:cs="Times New Roman"/>
          <w:color w:val="auto"/>
          <w:szCs w:val="32"/>
        </w:rPr>
        <w:t>特</w:t>
      </w:r>
      <w:r>
        <w:rPr>
          <w:rFonts w:hint="eastAsia" w:cs="Times New Roman"/>
          <w:color w:val="auto"/>
          <w:szCs w:val="32"/>
          <w:lang w:eastAsia="zh-CN"/>
        </w:rPr>
        <w:t>”</w:t>
      </w:r>
      <w:r>
        <w:rPr>
          <w:rFonts w:hint="default" w:ascii="Times New Roman" w:hAnsi="Times New Roman" w:cs="Times New Roman"/>
          <w:color w:val="auto"/>
          <w:szCs w:val="32"/>
        </w:rPr>
        <w:t>产业，</w:t>
      </w:r>
      <w:r>
        <w:rPr>
          <w:rFonts w:hint="default" w:ascii="Times New Roman" w:hAnsi="Times New Roman" w:cs="Times New Roman"/>
          <w:color w:val="auto"/>
          <w:szCs w:val="32"/>
          <w:lang w:val="en-US" w:eastAsia="zh-CN"/>
        </w:rPr>
        <w:t>加快发展</w:t>
      </w:r>
      <w:r>
        <w:rPr>
          <w:rFonts w:hint="default" w:ascii="Times New Roman" w:hAnsi="Times New Roman" w:cs="Times New Roman"/>
          <w:color w:val="auto"/>
          <w:szCs w:val="32"/>
        </w:rPr>
        <w:t>航空配套、</w:t>
      </w:r>
      <w:r>
        <w:rPr>
          <w:rFonts w:hint="default" w:ascii="Times New Roman" w:hAnsi="Times New Roman" w:cs="Times New Roman"/>
          <w:color w:val="auto"/>
          <w:szCs w:val="32"/>
          <w:lang w:val="en-US" w:eastAsia="zh-CN"/>
        </w:rPr>
        <w:t>电子信息</w:t>
      </w:r>
      <w:r>
        <w:rPr>
          <w:rFonts w:hint="default" w:ascii="Times New Roman" w:hAnsi="Times New Roman" w:cs="Times New Roman"/>
          <w:color w:val="auto"/>
          <w:szCs w:val="32"/>
        </w:rPr>
        <w:t>、生物医药、新能源</w:t>
      </w:r>
      <w:r>
        <w:rPr>
          <w:rFonts w:hint="default" w:ascii="Times New Roman" w:hAnsi="Times New Roman" w:cs="Times New Roman"/>
          <w:color w:val="auto"/>
          <w:szCs w:val="32"/>
          <w:lang w:val="en-US" w:eastAsia="zh-CN"/>
        </w:rPr>
        <w:t>、</w:t>
      </w:r>
      <w:r>
        <w:rPr>
          <w:rFonts w:hint="default" w:ascii="Times New Roman" w:hAnsi="Times New Roman" w:cs="Times New Roman"/>
          <w:color w:val="auto"/>
          <w:szCs w:val="32"/>
        </w:rPr>
        <w:t>新材料等新兴产业，做大经济总量，构建</w:t>
      </w:r>
      <w:r>
        <w:rPr>
          <w:rFonts w:hint="eastAsia" w:cs="Times New Roman"/>
          <w:color w:val="auto"/>
          <w:szCs w:val="32"/>
          <w:lang w:eastAsia="zh-CN"/>
        </w:rPr>
        <w:t>“</w:t>
      </w:r>
      <w:r>
        <w:rPr>
          <w:rFonts w:hint="default" w:ascii="Times New Roman" w:hAnsi="Times New Roman" w:cs="Times New Roman"/>
          <w:color w:val="auto"/>
          <w:szCs w:val="32"/>
        </w:rPr>
        <w:t>产业+科技+现代服务</w:t>
      </w:r>
      <w:r>
        <w:rPr>
          <w:rFonts w:hint="eastAsia" w:cs="Times New Roman"/>
          <w:color w:val="auto"/>
          <w:szCs w:val="32"/>
          <w:lang w:eastAsia="zh-CN"/>
        </w:rPr>
        <w:t>”</w:t>
      </w:r>
      <w:r>
        <w:rPr>
          <w:rFonts w:hint="default" w:ascii="Times New Roman" w:hAnsi="Times New Roman" w:cs="Times New Roman"/>
          <w:color w:val="auto"/>
          <w:szCs w:val="32"/>
        </w:rPr>
        <w:t>产城人深度融合的科技新城。</w:t>
      </w:r>
    </w:p>
    <w:p w14:paraId="559AA5C8">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center"/>
        <w:rPr>
          <w:rFonts w:hint="default" w:ascii="Times New Roman" w:hAnsi="Times New Roman" w:cs="Times New Roman"/>
          <w:color w:val="auto"/>
          <w:sz w:val="32"/>
          <w:szCs w:val="32"/>
          <w:lang w:eastAsia="zh-CN"/>
        </w:rPr>
      </w:pPr>
      <w:r>
        <w:rPr>
          <w:rFonts w:hint="eastAsia" w:ascii="Times New Roman" w:hAnsi="Times New Roman" w:eastAsia="楷体_GB2312" w:cs="Times New Roman"/>
          <w:b w:val="0"/>
          <w:bCs/>
          <w:color w:val="auto"/>
          <w:sz w:val="32"/>
          <w:szCs w:val="32"/>
          <w:lang w:val="en-US" w:eastAsia="zh-CN"/>
        </w:rPr>
        <w:t>——</w:t>
      </w:r>
      <w:r>
        <w:rPr>
          <w:rFonts w:hint="default" w:ascii="Times New Roman" w:hAnsi="Times New Roman" w:eastAsia="楷体_GB2312" w:cs="Times New Roman"/>
          <w:b w:val="0"/>
          <w:bCs/>
          <w:color w:val="auto"/>
          <w:sz w:val="32"/>
          <w:szCs w:val="32"/>
          <w:lang w:val="en-US" w:eastAsia="zh-CN"/>
        </w:rPr>
        <w:t>经开先进制造产业片区。</w:t>
      </w:r>
      <w:r>
        <w:rPr>
          <w:rFonts w:hint="default" w:ascii="Times New Roman" w:hAnsi="Times New Roman" w:eastAsia="仿宋_GB2312" w:cs="Times New Roman"/>
          <w:color w:val="auto"/>
          <w:sz w:val="32"/>
          <w:szCs w:val="32"/>
        </w:rPr>
        <w:t>发挥十天高速、宝巴、西汉高速纵横交汇、相互贯通的地缘区位优势，建设创智产业园、褒河智能制造产业园，集群发展高端装备制造、信息技术、现代物流等产业，打造装备制造产业基地</w:t>
      </w:r>
      <w:r>
        <w:rPr>
          <w:rFonts w:hint="default" w:ascii="Times New Roman" w:hAnsi="Times New Roman" w:cs="Times New Roman"/>
          <w:color w:val="auto"/>
          <w:sz w:val="32"/>
          <w:szCs w:val="32"/>
          <w:lang w:eastAsia="zh-CN"/>
        </w:rPr>
        <w:t>。</w:t>
      </w:r>
    </w:p>
    <w:p w14:paraId="28106107">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center"/>
        <w:rPr>
          <w:rFonts w:hint="default" w:ascii="Times New Roman" w:hAnsi="Times New Roman" w:eastAsia="仿宋_GB2312" w:cs="Times New Roman"/>
          <w:color w:val="auto"/>
          <w:sz w:val="32"/>
          <w:szCs w:val="32"/>
          <w:lang w:val="en-US" w:eastAsia="zh-CN"/>
        </w:rPr>
      </w:pPr>
      <w:r>
        <w:rPr>
          <w:rFonts w:hint="eastAsia" w:ascii="Times New Roman" w:hAnsi="Times New Roman" w:eastAsia="楷体_GB2312" w:cs="Times New Roman"/>
          <w:b w:val="0"/>
          <w:bCs/>
          <w:color w:val="auto"/>
          <w:sz w:val="32"/>
          <w:szCs w:val="32"/>
          <w:lang w:val="en-US" w:eastAsia="zh-CN"/>
        </w:rPr>
        <w:t>——</w:t>
      </w:r>
      <w:r>
        <w:rPr>
          <w:rFonts w:hint="default" w:ascii="Times New Roman" w:hAnsi="Times New Roman" w:eastAsia="楷体_GB2312" w:cs="Times New Roman"/>
          <w:b w:val="0"/>
          <w:bCs/>
          <w:color w:val="auto"/>
          <w:sz w:val="32"/>
          <w:szCs w:val="32"/>
          <w:lang w:val="en-US" w:eastAsia="zh-CN"/>
        </w:rPr>
        <w:t>城东科技创新产业片区。</w:t>
      </w:r>
      <w:r>
        <w:rPr>
          <w:rFonts w:hint="default" w:ascii="Times New Roman" w:hAnsi="Times New Roman" w:eastAsia="仿宋_GB2312" w:cs="Times New Roman"/>
          <w:color w:val="auto"/>
          <w:sz w:val="32"/>
          <w:szCs w:val="32"/>
          <w:lang w:val="en-US" w:eastAsia="zh-CN"/>
        </w:rPr>
        <w:t>依托毗邻老城区、邻近陕西理工大学的区位优势，</w:t>
      </w:r>
      <w:r>
        <w:rPr>
          <w:rFonts w:hint="default" w:ascii="Times New Roman" w:hAnsi="Times New Roman" w:cs="Times New Roman"/>
          <w:color w:val="auto"/>
          <w:sz w:val="32"/>
          <w:szCs w:val="32"/>
          <w:lang w:val="en-US" w:eastAsia="zh-CN"/>
        </w:rPr>
        <w:t>围绕</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活力城东、绿色智谷</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建设</w:t>
      </w:r>
      <w:r>
        <w:rPr>
          <w:rFonts w:hint="default" w:ascii="Times New Roman" w:hAnsi="Times New Roman" w:eastAsia="仿宋_GB2312" w:cs="Times New Roman"/>
          <w:color w:val="auto"/>
          <w:sz w:val="32"/>
          <w:szCs w:val="32"/>
          <w:lang w:val="en-US" w:eastAsia="zh-CN"/>
        </w:rPr>
        <w:t>，</w:t>
      </w:r>
      <w:r>
        <w:rPr>
          <w:rFonts w:hint="default" w:ascii="Times New Roman" w:hAnsi="Times New Roman" w:cs="Times New Roman"/>
          <w:color w:val="auto"/>
          <w:sz w:val="32"/>
          <w:szCs w:val="32"/>
          <w:lang w:val="en-US" w:eastAsia="zh-CN"/>
        </w:rPr>
        <w:t>完善</w:t>
      </w:r>
      <w:r>
        <w:rPr>
          <w:rFonts w:hint="default" w:ascii="Times New Roman" w:hAnsi="Times New Roman" w:eastAsia="仿宋_GB2312" w:cs="Times New Roman"/>
          <w:color w:val="auto"/>
          <w:sz w:val="32"/>
          <w:szCs w:val="32"/>
        </w:rPr>
        <w:t>公共服务、公园绿地等配套</w:t>
      </w:r>
      <w:r>
        <w:rPr>
          <w:rFonts w:hint="default" w:ascii="Times New Roman" w:hAnsi="Times New Roman" w:cs="Times New Roman"/>
          <w:color w:val="auto"/>
          <w:sz w:val="32"/>
          <w:szCs w:val="32"/>
          <w:lang w:val="en-US" w:eastAsia="zh-CN"/>
        </w:rPr>
        <w:t>设施和</w:t>
      </w:r>
      <w:r>
        <w:rPr>
          <w:rFonts w:hint="default" w:ascii="Times New Roman" w:hAnsi="Times New Roman" w:eastAsia="仿宋_GB2312" w:cs="Times New Roman"/>
          <w:color w:val="auto"/>
          <w:sz w:val="32"/>
          <w:szCs w:val="32"/>
        </w:rPr>
        <w:t>服务，</w:t>
      </w:r>
      <w:r>
        <w:rPr>
          <w:rFonts w:hint="default" w:ascii="Times New Roman" w:hAnsi="Times New Roman" w:eastAsia="仿宋_GB2312" w:cs="Times New Roman"/>
          <w:color w:val="auto"/>
          <w:sz w:val="32"/>
          <w:szCs w:val="32"/>
          <w:lang w:val="en-US" w:eastAsia="zh-CN"/>
        </w:rPr>
        <w:t>大力发展总部经济、现代金融、科技研发、数字经济、健康养生等新产业新业态，加快建成活力创新基地、品质健康城区</w:t>
      </w:r>
      <w:r>
        <w:rPr>
          <w:rFonts w:hint="default" w:ascii="Times New Roman" w:hAnsi="Times New Roman" w:eastAsia="仿宋_GB2312" w:cs="Times New Roman"/>
          <w:color w:val="auto"/>
          <w:sz w:val="32"/>
          <w:szCs w:val="32"/>
          <w:lang w:eastAsia="zh-CN"/>
        </w:rPr>
        <w:t>。</w:t>
      </w:r>
    </w:p>
    <w:p w14:paraId="387AB772">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楷体_GB2312" w:cs="Times New Roman"/>
          <w:b w:val="0"/>
          <w:bCs/>
          <w:color w:val="auto"/>
          <w:sz w:val="32"/>
          <w:szCs w:val="32"/>
          <w:lang w:val="en-US" w:eastAsia="zh-CN"/>
        </w:rPr>
      </w:pPr>
      <w:r>
        <w:rPr>
          <w:rFonts w:hint="default" w:ascii="Times New Roman" w:hAnsi="Times New Roman" w:eastAsia="楷体_GB2312" w:cs="Times New Roman"/>
          <w:b w:val="0"/>
          <w:bCs/>
          <w:color w:val="auto"/>
          <w:sz w:val="32"/>
          <w:szCs w:val="32"/>
          <w:lang w:val="en-US" w:eastAsia="zh-CN"/>
        </w:rPr>
        <w:t>多点支撑：建设多个产业增长极。</w:t>
      </w:r>
    </w:p>
    <w:p w14:paraId="487F670C">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 w:val="32"/>
          <w:szCs w:val="32"/>
          <w:lang w:val="en-US" w:eastAsia="zh-CN"/>
        </w:rPr>
      </w:pPr>
      <w:r>
        <w:rPr>
          <w:rFonts w:hint="default" w:ascii="Times New Roman" w:hAnsi="Times New Roman" w:cs="Times New Roman"/>
          <w:color w:val="auto"/>
          <w:sz w:val="32"/>
          <w:szCs w:val="32"/>
          <w:lang w:val="en-US" w:eastAsia="zh-CN"/>
        </w:rPr>
        <w:t>重点建设褒河物流园区、老君绿色食品大健康加工园区、七里轻工业产业基地、徐望生态循环经济产业园、河东店生态康养旅居板块、武乡农旅融合基地、龙江文旅研学体验基地、宗营小型机械加工集聚区等产业集聚区，支撑产业高质量发展。</w:t>
      </w:r>
    </w:p>
    <w:p w14:paraId="02869A67">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rtl w:val="0"/>
          <w:lang w:val="en-US" w:eastAsia="zh-CN"/>
        </w:rPr>
      </w:pPr>
      <w:bookmarkStart w:id="42" w:name="_Toc31753"/>
      <w:bookmarkStart w:id="43" w:name="_Toc27420"/>
      <w:r>
        <w:rPr>
          <w:rFonts w:hint="default" w:ascii="Times New Roman" w:hAnsi="Times New Roman" w:eastAsia="黑体" w:cs="Times New Roman"/>
          <w:b w:val="0"/>
          <w:bCs/>
          <w:color w:val="auto"/>
          <w:sz w:val="32"/>
          <w:szCs w:val="32"/>
          <w:lang w:val="en-US" w:eastAsia="zh-CN"/>
        </w:rPr>
        <w:t>二</w:t>
      </w:r>
      <w:r>
        <w:rPr>
          <w:rFonts w:hint="default" w:ascii="Times New Roman" w:hAnsi="Times New Roman" w:eastAsia="黑体" w:cs="Times New Roman"/>
          <w:b w:val="0"/>
          <w:bCs/>
          <w:color w:val="auto"/>
          <w:sz w:val="32"/>
          <w:szCs w:val="32"/>
          <w:rtl w:val="0"/>
          <w:lang w:val="en-US" w:eastAsia="zh-CN"/>
        </w:rPr>
        <w:t>、生态空间布局</w:t>
      </w:r>
      <w:bookmarkEnd w:id="42"/>
      <w:bookmarkEnd w:id="43"/>
    </w:p>
    <w:p w14:paraId="4301DC8E">
      <w:pPr>
        <w:keepNext w:val="0"/>
        <w:keepLines w:val="0"/>
        <w:pageBreakBefore w:val="0"/>
        <w:widowControl w:val="0"/>
        <w:suppressLineNumbers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以山水林田湖草沙系统治理为统揽，严守生态保护红线，严格保护自然保护地，强化秦岭山地、汉江湿地等重要生态功能区域的整体保护，提升重要生态系统服务功能，构建</w:t>
      </w:r>
      <w:r>
        <w:rPr>
          <w:rFonts w:hint="eastAsia" w:ascii="楷体_GB2312" w:hAnsi="楷体_GB2312" w:eastAsia="楷体_GB2312" w:cs="楷体_GB2312"/>
          <w:b w:val="0"/>
          <w:bCs w:val="0"/>
          <w:color w:val="auto"/>
          <w:lang w:val="en-US" w:eastAsia="zh-CN"/>
        </w:rPr>
        <w:t>“一屏、两带、四廊、多点”</w:t>
      </w:r>
      <w:r>
        <w:rPr>
          <w:rFonts w:hint="default" w:ascii="Times New Roman" w:hAnsi="Times New Roman" w:cs="Times New Roman"/>
          <w:color w:val="auto"/>
          <w:lang w:val="en-US" w:eastAsia="zh-CN"/>
        </w:rPr>
        <w:t>的生态安全格局。</w:t>
      </w:r>
    </w:p>
    <w:p w14:paraId="74347D33">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楷体_GB2312" w:cs="Times New Roman"/>
          <w:b w:val="0"/>
          <w:bCs w:val="0"/>
          <w:color w:val="auto"/>
          <w:lang w:val="en-US" w:eastAsia="zh-CN"/>
        </w:rPr>
      </w:pPr>
      <w:r>
        <w:rPr>
          <w:rFonts w:hint="default" w:ascii="Times New Roman" w:hAnsi="Times New Roman" w:eastAsia="楷体_GB2312" w:cs="Times New Roman"/>
          <w:b w:val="0"/>
          <w:bCs w:val="0"/>
          <w:color w:val="auto"/>
          <w:lang w:val="en-US" w:eastAsia="zh-CN"/>
        </w:rPr>
        <w:t>一屏：秦岭生态屏障。</w:t>
      </w:r>
    </w:p>
    <w:p w14:paraId="70DA80C3">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加强生态保育和生态修复，提升水源涵养、水土保持、生物多样性保护等重要生态服务功能，有序促进生态系统良性循环，构筑坚实稳固、支撑有力的区域生态安全屏障。</w:t>
      </w:r>
    </w:p>
    <w:p w14:paraId="42C054E0">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楷体_GB2312" w:cs="Times New Roman"/>
          <w:b w:val="0"/>
          <w:bCs w:val="0"/>
          <w:color w:val="auto"/>
          <w:lang w:val="en-US" w:eastAsia="zh-CN"/>
        </w:rPr>
      </w:pPr>
      <w:r>
        <w:rPr>
          <w:rFonts w:hint="default" w:ascii="Times New Roman" w:hAnsi="Times New Roman" w:eastAsia="楷体_GB2312" w:cs="Times New Roman"/>
          <w:b w:val="0"/>
          <w:bCs w:val="0"/>
          <w:color w:val="auto"/>
          <w:lang w:val="en-US" w:eastAsia="zh-CN"/>
        </w:rPr>
        <w:t>两带：汉江生态涵养带、褒河</w:t>
      </w:r>
      <w:r>
        <w:rPr>
          <w:rFonts w:hint="eastAsia" w:ascii="Times New Roman" w:hAnsi="Times New Roman" w:eastAsia="楷体_GB2312" w:cs="Times New Roman"/>
          <w:b w:val="0"/>
          <w:bCs w:val="0"/>
          <w:color w:val="auto"/>
          <w:lang w:val="en-US" w:eastAsia="zh-CN"/>
        </w:rPr>
        <w:t>——</w:t>
      </w:r>
      <w:r>
        <w:rPr>
          <w:rFonts w:hint="default" w:ascii="Times New Roman" w:hAnsi="Times New Roman" w:eastAsia="楷体_GB2312" w:cs="Times New Roman"/>
          <w:b w:val="0"/>
          <w:bCs w:val="0"/>
          <w:color w:val="auto"/>
          <w:lang w:val="en-US" w:eastAsia="zh-CN"/>
        </w:rPr>
        <w:t>沙沟河生态涵养带。</w:t>
      </w:r>
    </w:p>
    <w:p w14:paraId="464B2067">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改善河流水质，提升河流防洪排涝能力，保护和修复水生态系统，加强滨水区域生态化治理，打造水清、岸绿、安全、宜人的滨水空间。</w:t>
      </w:r>
    </w:p>
    <w:p w14:paraId="2575B254">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楷体_GB2312" w:cs="Times New Roman"/>
          <w:b w:val="0"/>
          <w:bCs w:val="0"/>
          <w:color w:val="auto"/>
          <w:lang w:val="en-US" w:eastAsia="zh-CN"/>
        </w:rPr>
      </w:pPr>
      <w:r>
        <w:rPr>
          <w:rFonts w:hint="default" w:ascii="Times New Roman" w:hAnsi="Times New Roman" w:eastAsia="楷体_GB2312" w:cs="Times New Roman"/>
          <w:b w:val="0"/>
          <w:bCs w:val="0"/>
          <w:color w:val="auto"/>
          <w:lang w:val="en-US" w:eastAsia="zh-CN"/>
        </w:rPr>
        <w:t>四廊：青沙河自然生态廊道、文庙河自然生态廊道、黎家河自然生态廊道、汉王河自然生态廊道。</w:t>
      </w:r>
    </w:p>
    <w:p w14:paraId="03F63083">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加强河湖水系连通，改善河流水质，提升河流防洪排涝能力，保护和修复水生态系统。</w:t>
      </w:r>
    </w:p>
    <w:p w14:paraId="17E14B27">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楷体_GB2312" w:cs="Times New Roman"/>
          <w:b w:val="0"/>
          <w:bCs w:val="0"/>
          <w:color w:val="auto"/>
          <w:lang w:val="en-US" w:eastAsia="zh-CN"/>
        </w:rPr>
      </w:pPr>
      <w:r>
        <w:rPr>
          <w:rFonts w:hint="default" w:ascii="Times New Roman" w:hAnsi="Times New Roman" w:eastAsia="楷体_GB2312" w:cs="Times New Roman"/>
          <w:b w:val="0"/>
          <w:bCs w:val="0"/>
          <w:color w:val="auto"/>
          <w:lang w:val="en-US" w:eastAsia="zh-CN"/>
        </w:rPr>
        <w:t>多点：多个生态节点。</w:t>
      </w:r>
    </w:p>
    <w:p w14:paraId="380DE498">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包括水源保护区、水库、河湖湿地等生态节点。稳定森林、草原、土壤、湿地等生态系统，推动生态空间由</w:t>
      </w:r>
      <w:r>
        <w:rPr>
          <w:rFonts w:hint="eastAsia" w:cs="Times New Roman"/>
          <w:color w:val="auto"/>
          <w:lang w:val="en-US" w:eastAsia="zh-CN"/>
        </w:rPr>
        <w:t>“</w:t>
      </w:r>
      <w:r>
        <w:rPr>
          <w:rFonts w:hint="default" w:ascii="Times New Roman" w:hAnsi="Times New Roman" w:cs="Times New Roman"/>
          <w:color w:val="auto"/>
          <w:lang w:val="en-US" w:eastAsia="zh-CN"/>
        </w:rPr>
        <w:t>浅绿色</w:t>
      </w:r>
      <w:r>
        <w:rPr>
          <w:rFonts w:hint="eastAsia" w:cs="Times New Roman"/>
          <w:color w:val="auto"/>
          <w:lang w:val="en-US" w:eastAsia="zh-CN"/>
        </w:rPr>
        <w:t>”</w:t>
      </w:r>
      <w:r>
        <w:rPr>
          <w:rFonts w:hint="default" w:ascii="Times New Roman" w:hAnsi="Times New Roman" w:cs="Times New Roman"/>
          <w:color w:val="auto"/>
          <w:lang w:val="en-US" w:eastAsia="zh-CN"/>
        </w:rPr>
        <w:t>向</w:t>
      </w:r>
      <w:r>
        <w:rPr>
          <w:rFonts w:hint="eastAsia" w:cs="Times New Roman"/>
          <w:color w:val="auto"/>
          <w:lang w:val="en-US" w:eastAsia="zh-CN"/>
        </w:rPr>
        <w:t>“</w:t>
      </w:r>
      <w:r>
        <w:rPr>
          <w:rFonts w:hint="default" w:ascii="Times New Roman" w:hAnsi="Times New Roman" w:cs="Times New Roman"/>
          <w:color w:val="auto"/>
          <w:lang w:val="en-US" w:eastAsia="zh-CN"/>
        </w:rPr>
        <w:t>深绿色</w:t>
      </w:r>
      <w:r>
        <w:rPr>
          <w:rFonts w:hint="eastAsia" w:cs="Times New Roman"/>
          <w:color w:val="auto"/>
          <w:lang w:val="en-US" w:eastAsia="zh-CN"/>
        </w:rPr>
        <w:t>”</w:t>
      </w:r>
      <w:r>
        <w:rPr>
          <w:rFonts w:hint="default" w:ascii="Times New Roman" w:hAnsi="Times New Roman" w:cs="Times New Roman"/>
          <w:color w:val="auto"/>
          <w:lang w:val="en-US" w:eastAsia="zh-CN"/>
        </w:rPr>
        <w:t>转变。</w:t>
      </w:r>
    </w:p>
    <w:p w14:paraId="0964A3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color w:val="auto"/>
          <w:sz w:val="24"/>
          <w:szCs w:val="24"/>
          <w:lang w:val="en-US" w:eastAsia="zh-CN"/>
        </w:rPr>
      </w:pPr>
      <w:r>
        <w:rPr>
          <w:rFonts w:hint="default" w:ascii="Times New Roman" w:hAnsi="Times New Roman" w:cs="Times New Roman"/>
          <w:color w:val="auto"/>
          <w:lang w:val="en-US" w:eastAsia="zh-CN"/>
        </w:rPr>
        <w:drawing>
          <wp:anchor distT="0" distB="0" distL="114300" distR="114300" simplePos="0" relativeHeight="251662336" behindDoc="0" locked="0" layoutInCell="1" allowOverlap="1">
            <wp:simplePos x="0" y="0"/>
            <wp:positionH relativeFrom="column">
              <wp:posOffset>208915</wp:posOffset>
            </wp:positionH>
            <wp:positionV relativeFrom="paragraph">
              <wp:posOffset>55880</wp:posOffset>
            </wp:positionV>
            <wp:extent cx="5175885" cy="6066790"/>
            <wp:effectExtent l="0" t="0" r="5715" b="10160"/>
            <wp:wrapTopAndBottom/>
            <wp:docPr id="4" name="图片 7" descr="610702汉台区07县域生态系统保护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610702汉台区07县域生态系统保护规划图"/>
                    <pic:cNvPicPr>
                      <a:picLocks noChangeAspect="1"/>
                    </pic:cNvPicPr>
                  </pic:nvPicPr>
                  <pic:blipFill>
                    <a:blip r:embed="rId9"/>
                    <a:srcRect l="2081" t="9438" r="1990" b="15996"/>
                    <a:stretch>
                      <a:fillRect/>
                    </a:stretch>
                  </pic:blipFill>
                  <pic:spPr>
                    <a:xfrm>
                      <a:off x="0" y="0"/>
                      <a:ext cx="5175885" cy="6066790"/>
                    </a:xfrm>
                    <a:prstGeom prst="rect">
                      <a:avLst/>
                    </a:prstGeom>
                    <a:noFill/>
                    <a:ln>
                      <a:noFill/>
                    </a:ln>
                  </pic:spPr>
                </pic:pic>
              </a:graphicData>
            </a:graphic>
          </wp:anchor>
        </w:drawing>
      </w:r>
      <w:r>
        <w:rPr>
          <w:rFonts w:hint="default" w:ascii="Times New Roman" w:hAnsi="Times New Roman" w:eastAsia="黑体" w:cs="Times New Roman"/>
          <w:color w:val="auto"/>
          <w:sz w:val="24"/>
          <w:szCs w:val="24"/>
          <w:lang w:val="en-US" w:eastAsia="zh-CN"/>
        </w:rPr>
        <w:t>图1-2  汉台区</w:t>
      </w:r>
      <w:r>
        <w:rPr>
          <w:rFonts w:hint="eastAsia" w:eastAsia="黑体" w:cs="Times New Roman"/>
          <w:color w:val="auto"/>
          <w:sz w:val="24"/>
          <w:szCs w:val="24"/>
          <w:lang w:val="en-US" w:eastAsia="zh-CN"/>
        </w:rPr>
        <w:t>“</w:t>
      </w:r>
      <w:r>
        <w:rPr>
          <w:rFonts w:hint="default" w:ascii="Times New Roman" w:hAnsi="Times New Roman" w:eastAsia="黑体" w:cs="Times New Roman"/>
          <w:color w:val="auto"/>
          <w:sz w:val="24"/>
          <w:szCs w:val="24"/>
          <w:lang w:val="en-US" w:eastAsia="zh-CN"/>
        </w:rPr>
        <w:t>一屏、两带、四廊、多点</w:t>
      </w:r>
      <w:r>
        <w:rPr>
          <w:rFonts w:hint="eastAsia" w:eastAsia="黑体" w:cs="Times New Roman"/>
          <w:color w:val="auto"/>
          <w:sz w:val="24"/>
          <w:szCs w:val="24"/>
          <w:lang w:val="en-US" w:eastAsia="zh-CN"/>
        </w:rPr>
        <w:t>”</w:t>
      </w:r>
      <w:r>
        <w:rPr>
          <w:rFonts w:hint="default" w:ascii="Times New Roman" w:hAnsi="Times New Roman" w:eastAsia="黑体" w:cs="Times New Roman"/>
          <w:color w:val="auto"/>
          <w:sz w:val="24"/>
          <w:szCs w:val="24"/>
          <w:lang w:val="en-US" w:eastAsia="zh-CN"/>
        </w:rPr>
        <w:t>生态系统保护格局</w:t>
      </w:r>
    </w:p>
    <w:p w14:paraId="4BD99C75">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rtl w:val="0"/>
          <w:lang w:val="en-US" w:eastAsia="zh-CN"/>
        </w:rPr>
      </w:pPr>
      <w:bookmarkStart w:id="44" w:name="_Toc22646"/>
      <w:bookmarkStart w:id="45" w:name="_Toc14826"/>
      <w:r>
        <w:rPr>
          <w:rFonts w:hint="default" w:ascii="Times New Roman" w:hAnsi="Times New Roman" w:eastAsia="黑体" w:cs="Times New Roman"/>
          <w:b w:val="0"/>
          <w:bCs/>
          <w:color w:val="auto"/>
          <w:sz w:val="32"/>
          <w:szCs w:val="32"/>
          <w:rtl w:val="0"/>
          <w:lang w:val="en-US" w:eastAsia="zh-CN"/>
        </w:rPr>
        <w:t>三、城镇空间布局</w:t>
      </w:r>
      <w:bookmarkEnd w:id="44"/>
      <w:bookmarkEnd w:id="45"/>
    </w:p>
    <w:p w14:paraId="0C670AEC">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仿宋_GB2312" w:cs="Times New Roman"/>
          <w:b w:val="0"/>
          <w:bCs/>
          <w:color w:val="auto"/>
        </w:rPr>
      </w:pPr>
      <w:r>
        <w:rPr>
          <w:rFonts w:hint="default" w:ascii="Times New Roman" w:hAnsi="Times New Roman" w:eastAsia="仿宋_GB2312" w:cs="Times New Roman"/>
          <w:b w:val="0"/>
          <w:bCs/>
          <w:color w:val="auto"/>
        </w:rPr>
        <w:t>按照</w:t>
      </w:r>
      <w:r>
        <w:rPr>
          <w:rFonts w:hint="eastAsia" w:cs="Times New Roman"/>
          <w:b w:val="0"/>
          <w:bCs/>
          <w:color w:val="auto"/>
          <w:lang w:eastAsia="zh-CN"/>
        </w:rPr>
        <w:t>“</w:t>
      </w:r>
      <w:r>
        <w:rPr>
          <w:rFonts w:hint="default" w:ascii="Times New Roman" w:hAnsi="Times New Roman" w:eastAsia="仿宋_GB2312" w:cs="Times New Roman"/>
          <w:b w:val="0"/>
          <w:bCs/>
          <w:color w:val="auto"/>
        </w:rPr>
        <w:t>中心城区提升、重点城镇示范、特色镇村联动</w:t>
      </w:r>
      <w:r>
        <w:rPr>
          <w:rFonts w:hint="eastAsia" w:cs="Times New Roman"/>
          <w:b w:val="0"/>
          <w:bCs/>
          <w:color w:val="auto"/>
          <w:lang w:eastAsia="zh-CN"/>
        </w:rPr>
        <w:t>”</w:t>
      </w:r>
      <w:r>
        <w:rPr>
          <w:rFonts w:hint="default" w:ascii="Times New Roman" w:hAnsi="Times New Roman" w:eastAsia="仿宋_GB2312" w:cs="Times New Roman"/>
          <w:b w:val="0"/>
          <w:bCs/>
          <w:color w:val="auto"/>
        </w:rPr>
        <w:t>的思路，统筹推进新型城镇化和乡村全面振兴，强化以工补农、以城带乡，构建以中心城区为核心、3个重点镇为节点、4个特色镇为依托、宜居宜业和美乡村为支撑的新型城镇体系。</w:t>
      </w:r>
    </w:p>
    <w:p w14:paraId="1C39CD43">
      <w:pPr>
        <w:keepNext w:val="0"/>
        <w:keepLines w:val="0"/>
        <w:pageBreakBefore w:val="0"/>
        <w:widowControl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黑体" w:cs="Times New Roman"/>
          <w:color w:val="auto"/>
          <w:sz w:val="24"/>
          <w:szCs w:val="24"/>
          <w:rtl w:val="0"/>
          <w:lang w:val="en-US" w:eastAsia="zh-CN"/>
        </w:rPr>
      </w:pPr>
      <w:r>
        <w:rPr>
          <w:rFonts w:hint="default" w:ascii="Times New Roman" w:hAnsi="Times New Roman" w:cs="Times New Roman"/>
          <w:color w:val="auto"/>
        </w:rPr>
        <w:drawing>
          <wp:anchor distT="0" distB="0" distL="114300" distR="114300" simplePos="0" relativeHeight="251663360" behindDoc="0" locked="0" layoutInCell="1" allowOverlap="1">
            <wp:simplePos x="0" y="0"/>
            <wp:positionH relativeFrom="column">
              <wp:posOffset>581025</wp:posOffset>
            </wp:positionH>
            <wp:positionV relativeFrom="paragraph">
              <wp:posOffset>63500</wp:posOffset>
            </wp:positionV>
            <wp:extent cx="4529455" cy="5812790"/>
            <wp:effectExtent l="9525" t="9525" r="13970" b="26035"/>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4529455" cy="5812790"/>
                    </a:xfrm>
                    <a:prstGeom prst="rect">
                      <a:avLst/>
                    </a:prstGeom>
                    <a:noFill/>
                    <a:ln w="9525" cap="flat" cmpd="sng">
                      <a:solidFill>
                        <a:srgbClr val="000000"/>
                      </a:solidFill>
                      <a:prstDash val="solid"/>
                      <a:round/>
                      <a:headEnd type="none" w="med" len="med"/>
                      <a:tailEnd type="none" w="med" len="med"/>
                    </a:ln>
                  </pic:spPr>
                </pic:pic>
              </a:graphicData>
            </a:graphic>
          </wp:anchor>
        </w:drawing>
      </w:r>
      <w:r>
        <w:rPr>
          <w:rFonts w:hint="default" w:ascii="Times New Roman" w:hAnsi="Times New Roman" w:eastAsia="黑体" w:cs="Times New Roman"/>
          <w:color w:val="auto"/>
          <w:sz w:val="24"/>
          <w:szCs w:val="24"/>
          <w:rtl w:val="0"/>
          <w:lang w:val="en-US" w:eastAsia="zh-CN"/>
        </w:rPr>
        <w:t>图1-3  汉台区城镇体系布局图</w:t>
      </w:r>
    </w:p>
    <w:p w14:paraId="5E33BD31">
      <w:pPr>
        <w:keepNext w:val="0"/>
        <w:keepLines w:val="0"/>
        <w:pageBreakBefore w:val="0"/>
        <w:widowControl/>
        <w:suppressLineNumbers w:val="0"/>
        <w:kinsoku/>
        <w:wordWrap/>
        <w:overflowPunct/>
        <w:topLinePunct w:val="0"/>
        <w:autoSpaceDE/>
        <w:autoSpaceDN/>
        <w:bidi w:val="0"/>
        <w:adjustRightInd/>
        <w:snapToGrid/>
        <w:spacing w:line="240" w:lineRule="auto"/>
        <w:ind w:firstLine="632" w:firstLineChars="200"/>
        <w:jc w:val="left"/>
        <w:textAlignment w:val="center"/>
        <w:rPr>
          <w:rFonts w:hint="default" w:ascii="Times New Roman" w:hAnsi="Times New Roman" w:eastAsia="仿宋_GB2312" w:cs="Times New Roman"/>
          <w:color w:val="auto"/>
          <w:sz w:val="32"/>
          <w:szCs w:val="32"/>
          <w:rtl w:val="0"/>
          <w:lang w:val="en-US" w:eastAsia="zh-CN"/>
        </w:rPr>
      </w:pPr>
      <w:r>
        <w:rPr>
          <w:rFonts w:hint="default" w:ascii="Times New Roman" w:hAnsi="Times New Roman" w:eastAsia="楷体_GB2312" w:cs="Times New Roman"/>
          <w:b w:val="0"/>
          <w:bCs w:val="0"/>
          <w:color w:val="auto"/>
          <w:sz w:val="32"/>
          <w:szCs w:val="32"/>
          <w:rtl w:val="0"/>
          <w:lang w:val="en-US" w:eastAsia="zh-CN"/>
        </w:rPr>
        <w:t>中心城区：</w:t>
      </w:r>
      <w:r>
        <w:rPr>
          <w:rFonts w:hint="default" w:ascii="Times New Roman" w:hAnsi="Times New Roman" w:eastAsia="仿宋_GB2312" w:cs="Times New Roman"/>
          <w:color w:val="auto"/>
          <w:sz w:val="32"/>
          <w:szCs w:val="32"/>
          <w:rtl w:val="0"/>
          <w:lang w:val="en-US" w:eastAsia="zh-CN"/>
        </w:rPr>
        <w:t>涉及北关街道、东关街道、东大街街道、汉中路街道、中山街街道、七里街道、龙江街道、鑫源街道8个街道，是汉中市中心城区的重要组成部分。承担汉台区以及汉中市的政治、经济、文化中心等核心功能，</w:t>
      </w:r>
      <w:r>
        <w:rPr>
          <w:rFonts w:hint="default" w:ascii="Times New Roman" w:hAnsi="Times New Roman" w:cs="Times New Roman"/>
          <w:color w:val="auto"/>
          <w:sz w:val="32"/>
          <w:szCs w:val="32"/>
          <w:rtl w:val="0"/>
          <w:lang w:val="en-US" w:eastAsia="zh-CN"/>
        </w:rPr>
        <w:t>大力发展</w:t>
      </w:r>
      <w:r>
        <w:rPr>
          <w:rFonts w:hint="default" w:ascii="Times New Roman" w:hAnsi="Times New Roman" w:eastAsia="仿宋_GB2312" w:cs="Times New Roman"/>
          <w:color w:val="auto"/>
          <w:sz w:val="32"/>
          <w:szCs w:val="32"/>
          <w:rtl w:val="0"/>
          <w:lang w:val="en-US" w:eastAsia="zh-CN"/>
        </w:rPr>
        <w:t>文化旅游、</w:t>
      </w:r>
      <w:r>
        <w:rPr>
          <w:rFonts w:hint="default" w:ascii="Times New Roman" w:hAnsi="Times New Roman" w:cs="Times New Roman"/>
          <w:color w:val="auto"/>
          <w:sz w:val="32"/>
          <w:szCs w:val="32"/>
          <w:rtl w:val="0"/>
          <w:lang w:val="en-US" w:eastAsia="zh-CN"/>
        </w:rPr>
        <w:t>现代商贸</w:t>
      </w:r>
      <w:r>
        <w:rPr>
          <w:rFonts w:hint="default" w:ascii="Times New Roman" w:hAnsi="Times New Roman" w:eastAsia="仿宋_GB2312" w:cs="Times New Roman"/>
          <w:color w:val="auto"/>
          <w:sz w:val="32"/>
          <w:szCs w:val="32"/>
          <w:rtl w:val="0"/>
          <w:lang w:val="en-US" w:eastAsia="zh-CN"/>
        </w:rPr>
        <w:t>、装备制造、绿色食药、现代物流、现代金融、数字经济等产业</w:t>
      </w:r>
      <w:r>
        <w:rPr>
          <w:rFonts w:hint="default" w:ascii="Times New Roman" w:hAnsi="Times New Roman" w:cs="Times New Roman"/>
          <w:color w:val="auto"/>
          <w:sz w:val="32"/>
          <w:szCs w:val="32"/>
          <w:rtl w:val="0"/>
          <w:lang w:val="en-US" w:eastAsia="zh-CN"/>
        </w:rPr>
        <w:t>，做大做强城市经济</w:t>
      </w:r>
      <w:r>
        <w:rPr>
          <w:rFonts w:hint="default" w:ascii="Times New Roman" w:hAnsi="Times New Roman" w:eastAsia="仿宋_GB2312" w:cs="Times New Roman"/>
          <w:color w:val="auto"/>
          <w:sz w:val="32"/>
          <w:szCs w:val="32"/>
          <w:rtl w:val="0"/>
          <w:lang w:val="en-US" w:eastAsia="zh-CN"/>
        </w:rPr>
        <w:t>。</w:t>
      </w:r>
    </w:p>
    <w:p w14:paraId="478F11B7">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rtl w:val="0"/>
          <w:lang w:val="en-US" w:eastAsia="zh-CN"/>
        </w:rPr>
      </w:pPr>
      <w:r>
        <w:rPr>
          <w:rFonts w:hint="default" w:ascii="Times New Roman" w:hAnsi="Times New Roman" w:eastAsia="楷体_GB2312" w:cs="Times New Roman"/>
          <w:b w:val="0"/>
          <w:bCs w:val="0"/>
          <w:color w:val="auto"/>
          <w:sz w:val="32"/>
          <w:szCs w:val="32"/>
          <w:rtl w:val="0"/>
          <w:lang w:val="en-US" w:eastAsia="zh-CN"/>
        </w:rPr>
        <w:t>3个重点镇：</w:t>
      </w:r>
      <w:r>
        <w:rPr>
          <w:rFonts w:hint="default" w:ascii="Times New Roman" w:hAnsi="Times New Roman" w:eastAsia="仿宋_GB2312" w:cs="Times New Roman"/>
          <w:color w:val="auto"/>
          <w:sz w:val="32"/>
          <w:szCs w:val="32"/>
          <w:rtl w:val="0"/>
          <w:lang w:val="en-US" w:eastAsia="zh-CN"/>
        </w:rPr>
        <w:t>包括</w:t>
      </w:r>
      <w:r>
        <w:rPr>
          <w:rFonts w:hint="default" w:ascii="Times New Roman" w:hAnsi="Times New Roman" w:cs="Times New Roman"/>
          <w:color w:val="auto"/>
          <w:sz w:val="32"/>
          <w:szCs w:val="32"/>
          <w:rtl w:val="0"/>
          <w:lang w:val="en-US" w:eastAsia="zh-CN"/>
        </w:rPr>
        <w:t>铺镇、河东店镇、武乡镇。优化城镇空间布局，完善城镇服务功能，加强</w:t>
      </w:r>
      <w:r>
        <w:rPr>
          <w:rFonts w:hint="default" w:ascii="Times New Roman" w:hAnsi="Times New Roman" w:eastAsia="仿宋_GB2312" w:cs="Times New Roman"/>
          <w:color w:val="auto"/>
          <w:sz w:val="32"/>
          <w:szCs w:val="32"/>
        </w:rPr>
        <w:t>城镇道路、供水、排水、供电、通讯、垃圾站点等基础设施</w:t>
      </w:r>
      <w:r>
        <w:rPr>
          <w:rFonts w:hint="default" w:ascii="Times New Roman" w:hAnsi="Times New Roman" w:cs="Times New Roman"/>
          <w:color w:val="auto"/>
          <w:sz w:val="32"/>
          <w:szCs w:val="32"/>
          <w:lang w:val="en-US" w:eastAsia="zh-CN"/>
        </w:rPr>
        <w:t>建设</w:t>
      </w:r>
      <w:r>
        <w:rPr>
          <w:rFonts w:hint="default" w:ascii="Times New Roman" w:hAnsi="Times New Roman" w:eastAsia="仿宋_GB2312" w:cs="Times New Roman"/>
          <w:color w:val="auto"/>
          <w:sz w:val="32"/>
          <w:szCs w:val="32"/>
        </w:rPr>
        <w:t>，</w:t>
      </w:r>
      <w:r>
        <w:rPr>
          <w:rFonts w:hint="default" w:ascii="Times New Roman" w:hAnsi="Times New Roman" w:cs="Times New Roman"/>
          <w:color w:val="auto"/>
          <w:sz w:val="32"/>
          <w:szCs w:val="32"/>
          <w:lang w:val="en-US" w:eastAsia="zh-CN"/>
        </w:rPr>
        <w:t>强化产业培育，吸引农民就近就地转移就业。</w:t>
      </w:r>
    </w:p>
    <w:p w14:paraId="434E1473">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rtl w:val="0"/>
          <w:lang w:val="en-US" w:eastAsia="zh-CN"/>
        </w:rPr>
      </w:pPr>
      <w:r>
        <w:rPr>
          <w:rFonts w:hint="default" w:ascii="Times New Roman" w:hAnsi="Times New Roman" w:eastAsia="楷体_GB2312" w:cs="Times New Roman"/>
          <w:b w:val="0"/>
          <w:bCs w:val="0"/>
          <w:color w:val="auto"/>
          <w:sz w:val="32"/>
          <w:szCs w:val="32"/>
          <w:rtl w:val="0"/>
          <w:lang w:val="en-US" w:eastAsia="zh-CN"/>
        </w:rPr>
        <w:t>4个特色镇：</w:t>
      </w:r>
      <w:r>
        <w:rPr>
          <w:rFonts w:hint="default" w:ascii="Times New Roman" w:hAnsi="Times New Roman" w:eastAsia="仿宋_GB2312" w:cs="Times New Roman"/>
          <w:color w:val="auto"/>
          <w:sz w:val="32"/>
          <w:szCs w:val="32"/>
          <w:rtl w:val="0"/>
          <w:lang w:val="en-US" w:eastAsia="zh-CN"/>
        </w:rPr>
        <w:t>包括</w:t>
      </w:r>
      <w:r>
        <w:rPr>
          <w:rFonts w:hint="default" w:ascii="Times New Roman" w:hAnsi="Times New Roman" w:cs="Times New Roman"/>
          <w:color w:val="auto"/>
          <w:sz w:val="32"/>
          <w:szCs w:val="32"/>
          <w:rtl w:val="0"/>
          <w:lang w:val="en-US" w:eastAsia="zh-CN"/>
        </w:rPr>
        <w:t>宗营镇、老君镇、</w:t>
      </w:r>
      <w:r>
        <w:rPr>
          <w:rFonts w:hint="default" w:ascii="Times New Roman" w:hAnsi="Times New Roman" w:eastAsia="仿宋_GB2312" w:cs="Times New Roman"/>
          <w:color w:val="auto"/>
          <w:sz w:val="32"/>
          <w:szCs w:val="32"/>
          <w:rtl w:val="0"/>
          <w:lang w:val="en-US" w:eastAsia="zh-CN"/>
        </w:rPr>
        <w:t>汉王镇、徐望镇。</w:t>
      </w:r>
      <w:r>
        <w:rPr>
          <w:rFonts w:hint="default" w:ascii="Times New Roman" w:hAnsi="Times New Roman" w:cs="Times New Roman"/>
          <w:color w:val="auto"/>
          <w:sz w:val="32"/>
          <w:szCs w:val="32"/>
          <w:rtl w:val="0"/>
          <w:lang w:val="en-US" w:eastAsia="zh-CN"/>
        </w:rPr>
        <w:t>大力</w:t>
      </w:r>
      <w:r>
        <w:rPr>
          <w:rFonts w:hint="default" w:ascii="Times New Roman" w:hAnsi="Times New Roman" w:eastAsia="仿宋_GB2312" w:cs="Times New Roman"/>
          <w:color w:val="auto"/>
          <w:sz w:val="32"/>
          <w:szCs w:val="32"/>
          <w:rtl w:val="0"/>
          <w:lang w:val="en-US" w:eastAsia="zh-CN"/>
        </w:rPr>
        <w:t>推进</w:t>
      </w:r>
      <w:r>
        <w:rPr>
          <w:rFonts w:hint="default" w:ascii="Times New Roman" w:hAnsi="Times New Roman" w:cs="Times New Roman"/>
          <w:color w:val="auto"/>
          <w:sz w:val="32"/>
          <w:szCs w:val="32"/>
          <w:rtl w:val="0"/>
          <w:lang w:val="en-US" w:eastAsia="zh-CN"/>
        </w:rPr>
        <w:t>城乡基本公共服务均等化</w:t>
      </w:r>
      <w:r>
        <w:rPr>
          <w:rFonts w:hint="default" w:ascii="Times New Roman" w:hAnsi="Times New Roman" w:eastAsia="仿宋_GB2312" w:cs="Times New Roman"/>
          <w:color w:val="auto"/>
          <w:sz w:val="32"/>
          <w:szCs w:val="32"/>
          <w:rtl w:val="0"/>
          <w:lang w:val="en-US" w:eastAsia="zh-CN"/>
        </w:rPr>
        <w:t>，完善</w:t>
      </w:r>
      <w:r>
        <w:rPr>
          <w:rFonts w:hint="default" w:ascii="Times New Roman" w:hAnsi="Times New Roman" w:cs="Times New Roman"/>
          <w:color w:val="auto"/>
          <w:sz w:val="32"/>
          <w:szCs w:val="32"/>
          <w:rtl w:val="0"/>
          <w:lang w:val="en-US" w:eastAsia="zh-CN"/>
        </w:rPr>
        <w:t>城乡基础设施，加快镇域经济发展</w:t>
      </w:r>
      <w:r>
        <w:rPr>
          <w:rFonts w:hint="default" w:ascii="Times New Roman" w:hAnsi="Times New Roman" w:eastAsia="仿宋_GB2312" w:cs="Times New Roman"/>
          <w:color w:val="auto"/>
          <w:sz w:val="32"/>
          <w:szCs w:val="32"/>
          <w:rtl w:val="0"/>
          <w:lang w:val="en-US" w:eastAsia="zh-CN"/>
        </w:rPr>
        <w:t>，通过特色产业</w:t>
      </w:r>
      <w:r>
        <w:rPr>
          <w:rFonts w:hint="default" w:ascii="Times New Roman" w:hAnsi="Times New Roman" w:cs="Times New Roman"/>
          <w:color w:val="auto"/>
          <w:sz w:val="32"/>
          <w:szCs w:val="32"/>
          <w:rtl w:val="0"/>
          <w:lang w:val="en-US" w:eastAsia="zh-CN"/>
        </w:rPr>
        <w:t>带动</w:t>
      </w:r>
      <w:r>
        <w:rPr>
          <w:rFonts w:hint="default" w:ascii="Times New Roman" w:hAnsi="Times New Roman" w:eastAsia="仿宋_GB2312" w:cs="Times New Roman"/>
          <w:color w:val="auto"/>
          <w:sz w:val="32"/>
          <w:szCs w:val="32"/>
          <w:rtl w:val="0"/>
          <w:lang w:val="en-US" w:eastAsia="zh-CN"/>
        </w:rPr>
        <w:t>乡村人口实现就近城镇化。</w:t>
      </w:r>
    </w:p>
    <w:p w14:paraId="50E4AB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color w:val="auto"/>
          <w:sz w:val="24"/>
          <w:szCs w:val="24"/>
          <w:rtl w:val="0"/>
          <w:lang w:val="en-US" w:eastAsia="zh-CN"/>
        </w:rPr>
      </w:pPr>
      <w:r>
        <w:rPr>
          <w:rFonts w:hint="default" w:ascii="Times New Roman" w:hAnsi="Times New Roman" w:eastAsia="黑体" w:cs="Times New Roman"/>
          <w:color w:val="auto"/>
          <w:sz w:val="24"/>
          <w:szCs w:val="24"/>
          <w:rtl w:val="0"/>
          <w:lang w:val="en-US" w:eastAsia="zh-CN"/>
        </w:rPr>
        <w:t>表1-3  汉台区城镇体系及职能分工</w:t>
      </w:r>
    </w:p>
    <w:tbl>
      <w:tblPr>
        <w:tblStyle w:val="15"/>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1"/>
        <w:gridCol w:w="1453"/>
        <w:gridCol w:w="2247"/>
        <w:gridCol w:w="2546"/>
      </w:tblGrid>
      <w:tr w14:paraId="24CD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1" w:type="dxa"/>
            <w:noWrap w:val="0"/>
            <w:vAlign w:val="center"/>
          </w:tcPr>
          <w:p w14:paraId="5BF3D47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b/>
                <w:bCs/>
                <w:color w:val="auto"/>
                <w:sz w:val="24"/>
                <w:szCs w:val="24"/>
                <w:vertAlign w:val="baseline"/>
                <w:rtl w:val="0"/>
                <w:lang w:val="en-US" w:eastAsia="zh-CN"/>
              </w:rPr>
            </w:pPr>
            <w:r>
              <w:rPr>
                <w:rFonts w:hint="default" w:ascii="Times New Roman" w:hAnsi="Times New Roman" w:eastAsia="仿宋_GB2312" w:cs="Times New Roman"/>
                <w:b/>
                <w:bCs/>
                <w:color w:val="auto"/>
                <w:sz w:val="24"/>
                <w:szCs w:val="24"/>
                <w:vertAlign w:val="baseline"/>
                <w:rtl w:val="0"/>
                <w:lang w:val="en-US" w:eastAsia="zh-CN"/>
              </w:rPr>
              <w:t>镇</w:t>
            </w:r>
          </w:p>
        </w:tc>
        <w:tc>
          <w:tcPr>
            <w:tcW w:w="1453" w:type="dxa"/>
            <w:noWrap w:val="0"/>
            <w:vAlign w:val="center"/>
          </w:tcPr>
          <w:p w14:paraId="0870E73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b/>
                <w:bCs/>
                <w:color w:val="auto"/>
                <w:sz w:val="24"/>
                <w:szCs w:val="24"/>
                <w:vertAlign w:val="baseline"/>
                <w:rtl w:val="0"/>
                <w:lang w:val="en-US" w:eastAsia="zh-CN"/>
              </w:rPr>
            </w:pPr>
            <w:r>
              <w:rPr>
                <w:rFonts w:hint="default" w:ascii="Times New Roman" w:hAnsi="Times New Roman" w:eastAsia="仿宋_GB2312" w:cs="Times New Roman"/>
                <w:b/>
                <w:bCs/>
                <w:color w:val="auto"/>
                <w:sz w:val="24"/>
                <w:szCs w:val="24"/>
                <w:vertAlign w:val="baseline"/>
                <w:rtl w:val="0"/>
                <w:lang w:val="en-US" w:eastAsia="zh-CN"/>
              </w:rPr>
              <w:t>城镇等级</w:t>
            </w:r>
          </w:p>
        </w:tc>
        <w:tc>
          <w:tcPr>
            <w:tcW w:w="2247" w:type="dxa"/>
            <w:noWrap w:val="0"/>
            <w:vAlign w:val="center"/>
          </w:tcPr>
          <w:p w14:paraId="4F00D7C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b/>
                <w:bCs/>
                <w:color w:val="auto"/>
                <w:sz w:val="24"/>
                <w:szCs w:val="24"/>
                <w:vertAlign w:val="baseline"/>
                <w:rtl w:val="0"/>
                <w:lang w:val="en-US" w:eastAsia="zh-CN"/>
              </w:rPr>
            </w:pPr>
            <w:r>
              <w:rPr>
                <w:rFonts w:hint="default" w:ascii="Times New Roman" w:hAnsi="Times New Roman" w:eastAsia="仿宋_GB2312" w:cs="Times New Roman"/>
                <w:b/>
                <w:bCs/>
                <w:color w:val="auto"/>
                <w:sz w:val="24"/>
                <w:szCs w:val="24"/>
                <w:vertAlign w:val="baseline"/>
                <w:rtl w:val="0"/>
                <w:lang w:val="en-US" w:eastAsia="zh-CN"/>
              </w:rPr>
              <w:t>城镇职能</w:t>
            </w:r>
          </w:p>
        </w:tc>
        <w:tc>
          <w:tcPr>
            <w:tcW w:w="2546" w:type="dxa"/>
            <w:noWrap w:val="0"/>
            <w:vAlign w:val="center"/>
          </w:tcPr>
          <w:p w14:paraId="72D418C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b/>
                <w:bCs/>
                <w:color w:val="auto"/>
                <w:sz w:val="24"/>
                <w:szCs w:val="24"/>
                <w:vertAlign w:val="baseline"/>
                <w:rtl w:val="0"/>
                <w:lang w:val="en-US" w:eastAsia="zh-CN"/>
              </w:rPr>
            </w:pPr>
            <w:r>
              <w:rPr>
                <w:rFonts w:hint="default" w:ascii="Times New Roman" w:hAnsi="Times New Roman" w:eastAsia="仿宋_GB2312" w:cs="Times New Roman"/>
                <w:b/>
                <w:bCs/>
                <w:color w:val="auto"/>
                <w:sz w:val="24"/>
                <w:szCs w:val="24"/>
                <w:vertAlign w:val="baseline"/>
                <w:rtl w:val="0"/>
                <w:lang w:val="en-US" w:eastAsia="zh-CN"/>
              </w:rPr>
              <w:t>发展定位</w:t>
            </w:r>
          </w:p>
        </w:tc>
      </w:tr>
      <w:tr w14:paraId="2A2A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1" w:type="dxa"/>
            <w:noWrap w:val="0"/>
            <w:vAlign w:val="center"/>
          </w:tcPr>
          <w:p w14:paraId="71BCEACE">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kern w:val="0"/>
                <w:sz w:val="24"/>
                <w:szCs w:val="24"/>
                <w:lang w:val="en-US" w:eastAsia="zh-CN" w:bidi="ar"/>
              </w:rPr>
              <w:t>铺镇</w:t>
            </w:r>
          </w:p>
        </w:tc>
        <w:tc>
          <w:tcPr>
            <w:tcW w:w="1453" w:type="dxa"/>
            <w:noWrap w:val="0"/>
            <w:vAlign w:val="center"/>
          </w:tcPr>
          <w:p w14:paraId="726AB60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重点镇</w:t>
            </w:r>
          </w:p>
        </w:tc>
        <w:tc>
          <w:tcPr>
            <w:tcW w:w="2247" w:type="dxa"/>
            <w:noWrap w:val="0"/>
            <w:vAlign w:val="center"/>
          </w:tcPr>
          <w:p w14:paraId="7F61531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综合型</w:t>
            </w:r>
          </w:p>
        </w:tc>
        <w:tc>
          <w:tcPr>
            <w:tcW w:w="2546" w:type="dxa"/>
            <w:noWrap w:val="0"/>
            <w:vAlign w:val="center"/>
          </w:tcPr>
          <w:p w14:paraId="04DC630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产城融合示范镇</w:t>
            </w:r>
          </w:p>
        </w:tc>
      </w:tr>
      <w:tr w14:paraId="32C0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1" w:type="dxa"/>
            <w:noWrap w:val="0"/>
            <w:vAlign w:val="center"/>
          </w:tcPr>
          <w:p w14:paraId="14F9448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河东店镇</w:t>
            </w:r>
          </w:p>
        </w:tc>
        <w:tc>
          <w:tcPr>
            <w:tcW w:w="1453" w:type="dxa"/>
            <w:noWrap w:val="0"/>
            <w:vAlign w:val="center"/>
          </w:tcPr>
          <w:p w14:paraId="6485FD3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重点镇</w:t>
            </w:r>
          </w:p>
        </w:tc>
        <w:tc>
          <w:tcPr>
            <w:tcW w:w="2247" w:type="dxa"/>
            <w:noWrap w:val="0"/>
            <w:vAlign w:val="center"/>
          </w:tcPr>
          <w:p w14:paraId="663D870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综合型</w:t>
            </w:r>
          </w:p>
        </w:tc>
        <w:tc>
          <w:tcPr>
            <w:tcW w:w="2546" w:type="dxa"/>
            <w:noWrap w:val="0"/>
            <w:vAlign w:val="center"/>
          </w:tcPr>
          <w:p w14:paraId="50D4B94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文旅医养名镇</w:t>
            </w:r>
          </w:p>
        </w:tc>
      </w:tr>
      <w:tr w14:paraId="702D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1" w:type="dxa"/>
            <w:noWrap w:val="0"/>
            <w:vAlign w:val="center"/>
          </w:tcPr>
          <w:p w14:paraId="503226B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kern w:val="2"/>
                <w:sz w:val="24"/>
                <w:szCs w:val="24"/>
                <w:vertAlign w:val="baseline"/>
                <w:rtl w:val="0"/>
                <w:lang w:val="en-US" w:eastAsia="zh-CN" w:bidi="ar-SA"/>
              </w:rPr>
            </w:pPr>
            <w:r>
              <w:rPr>
                <w:rFonts w:hint="default" w:ascii="Times New Roman" w:hAnsi="Times New Roman" w:eastAsia="仿宋_GB2312" w:cs="Times New Roman"/>
                <w:color w:val="auto"/>
                <w:sz w:val="24"/>
                <w:szCs w:val="24"/>
                <w:vertAlign w:val="baseline"/>
                <w:rtl w:val="0"/>
                <w:lang w:val="en-US" w:eastAsia="zh-CN"/>
              </w:rPr>
              <w:t>武乡镇</w:t>
            </w:r>
          </w:p>
        </w:tc>
        <w:tc>
          <w:tcPr>
            <w:tcW w:w="1453" w:type="dxa"/>
            <w:noWrap w:val="0"/>
            <w:vAlign w:val="center"/>
          </w:tcPr>
          <w:p w14:paraId="6372DC0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kern w:val="2"/>
                <w:sz w:val="24"/>
                <w:szCs w:val="24"/>
                <w:vertAlign w:val="baseline"/>
                <w:rtl w:val="0"/>
                <w:lang w:val="en-US" w:eastAsia="zh-CN" w:bidi="ar-SA"/>
              </w:rPr>
            </w:pPr>
            <w:r>
              <w:rPr>
                <w:rFonts w:hint="default" w:ascii="Times New Roman" w:hAnsi="Times New Roman" w:eastAsia="仿宋_GB2312" w:cs="Times New Roman"/>
                <w:color w:val="auto"/>
                <w:sz w:val="24"/>
                <w:szCs w:val="24"/>
                <w:vertAlign w:val="baseline"/>
                <w:rtl w:val="0"/>
                <w:lang w:val="en-US" w:eastAsia="zh-CN"/>
              </w:rPr>
              <w:t>重点镇</w:t>
            </w:r>
          </w:p>
        </w:tc>
        <w:tc>
          <w:tcPr>
            <w:tcW w:w="2247" w:type="dxa"/>
            <w:noWrap w:val="0"/>
            <w:vAlign w:val="center"/>
          </w:tcPr>
          <w:p w14:paraId="11F0CE9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kern w:val="2"/>
                <w:sz w:val="24"/>
                <w:szCs w:val="24"/>
                <w:vertAlign w:val="baseline"/>
                <w:rtl w:val="0"/>
                <w:lang w:val="en-US" w:eastAsia="zh-CN" w:bidi="ar-SA"/>
              </w:rPr>
            </w:pPr>
            <w:r>
              <w:rPr>
                <w:rFonts w:hint="default" w:ascii="Times New Roman" w:hAnsi="Times New Roman" w:eastAsia="仿宋_GB2312" w:cs="Times New Roman"/>
                <w:color w:val="auto"/>
                <w:sz w:val="24"/>
                <w:szCs w:val="24"/>
                <w:vertAlign w:val="baseline"/>
                <w:rtl w:val="0"/>
                <w:lang w:val="en-US" w:eastAsia="zh-CN"/>
              </w:rPr>
              <w:t>文化旅游型</w:t>
            </w:r>
          </w:p>
        </w:tc>
        <w:tc>
          <w:tcPr>
            <w:tcW w:w="2546" w:type="dxa"/>
            <w:noWrap w:val="0"/>
            <w:vAlign w:val="center"/>
          </w:tcPr>
          <w:p w14:paraId="315BFE5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kern w:val="2"/>
                <w:sz w:val="24"/>
                <w:szCs w:val="24"/>
                <w:vertAlign w:val="baseline"/>
                <w:rtl w:val="0"/>
                <w:lang w:val="en-US" w:eastAsia="zh-CN" w:bidi="ar-SA"/>
              </w:rPr>
            </w:pPr>
            <w:r>
              <w:rPr>
                <w:rFonts w:hint="default" w:ascii="Times New Roman" w:hAnsi="Times New Roman" w:eastAsia="仿宋_GB2312" w:cs="Times New Roman"/>
                <w:color w:val="auto"/>
                <w:sz w:val="24"/>
                <w:szCs w:val="24"/>
                <w:vertAlign w:val="baseline"/>
                <w:rtl w:val="0"/>
                <w:lang w:val="en-US" w:eastAsia="zh-CN"/>
              </w:rPr>
              <w:t>省级历史文化古镇</w:t>
            </w:r>
          </w:p>
        </w:tc>
      </w:tr>
      <w:tr w14:paraId="71FC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1" w:type="dxa"/>
            <w:noWrap w:val="0"/>
            <w:vAlign w:val="center"/>
          </w:tcPr>
          <w:p w14:paraId="7019767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宗营镇</w:t>
            </w:r>
          </w:p>
        </w:tc>
        <w:tc>
          <w:tcPr>
            <w:tcW w:w="1453" w:type="dxa"/>
            <w:noWrap w:val="0"/>
            <w:vAlign w:val="center"/>
          </w:tcPr>
          <w:p w14:paraId="4340FC2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特色镇</w:t>
            </w:r>
          </w:p>
        </w:tc>
        <w:tc>
          <w:tcPr>
            <w:tcW w:w="2247" w:type="dxa"/>
            <w:noWrap w:val="0"/>
            <w:vAlign w:val="center"/>
          </w:tcPr>
          <w:p w14:paraId="680985F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综合型</w:t>
            </w:r>
          </w:p>
        </w:tc>
        <w:tc>
          <w:tcPr>
            <w:tcW w:w="2546" w:type="dxa"/>
            <w:noWrap w:val="0"/>
            <w:vAlign w:val="center"/>
          </w:tcPr>
          <w:p w14:paraId="5D46BE0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农旅康养融合镇</w:t>
            </w:r>
          </w:p>
        </w:tc>
      </w:tr>
      <w:tr w14:paraId="0499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1" w:type="dxa"/>
            <w:noWrap w:val="0"/>
            <w:vAlign w:val="center"/>
          </w:tcPr>
          <w:p w14:paraId="1435C17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老君镇</w:t>
            </w:r>
          </w:p>
        </w:tc>
        <w:tc>
          <w:tcPr>
            <w:tcW w:w="1453" w:type="dxa"/>
            <w:noWrap w:val="0"/>
            <w:vAlign w:val="center"/>
          </w:tcPr>
          <w:p w14:paraId="40E408F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特色镇</w:t>
            </w:r>
          </w:p>
        </w:tc>
        <w:tc>
          <w:tcPr>
            <w:tcW w:w="2247" w:type="dxa"/>
            <w:noWrap w:val="0"/>
            <w:vAlign w:val="center"/>
          </w:tcPr>
          <w:p w14:paraId="5650174A">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kern w:val="0"/>
                <w:sz w:val="24"/>
                <w:szCs w:val="24"/>
                <w:lang w:val="en-US" w:eastAsia="zh-CN" w:bidi="ar"/>
              </w:rPr>
              <w:t>绿色工业型</w:t>
            </w:r>
          </w:p>
        </w:tc>
        <w:tc>
          <w:tcPr>
            <w:tcW w:w="2546" w:type="dxa"/>
            <w:noWrap w:val="0"/>
            <w:vAlign w:val="center"/>
          </w:tcPr>
          <w:p w14:paraId="7FFBBE7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生态农旅强镇</w:t>
            </w:r>
          </w:p>
        </w:tc>
      </w:tr>
      <w:tr w14:paraId="2F18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1" w:type="dxa"/>
            <w:noWrap w:val="0"/>
            <w:vAlign w:val="center"/>
          </w:tcPr>
          <w:p w14:paraId="6B4C6DB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汉王镇</w:t>
            </w:r>
          </w:p>
        </w:tc>
        <w:tc>
          <w:tcPr>
            <w:tcW w:w="1453" w:type="dxa"/>
            <w:noWrap w:val="0"/>
            <w:vAlign w:val="center"/>
          </w:tcPr>
          <w:p w14:paraId="09CCFA1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特色镇</w:t>
            </w:r>
          </w:p>
        </w:tc>
        <w:tc>
          <w:tcPr>
            <w:tcW w:w="2247" w:type="dxa"/>
            <w:noWrap w:val="0"/>
            <w:vAlign w:val="center"/>
          </w:tcPr>
          <w:p w14:paraId="194D4BC1">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kern w:val="0"/>
                <w:sz w:val="24"/>
                <w:szCs w:val="24"/>
                <w:lang w:val="en-US" w:eastAsia="zh-CN" w:bidi="ar"/>
              </w:rPr>
              <w:t>农副产品加工型</w:t>
            </w:r>
          </w:p>
        </w:tc>
        <w:tc>
          <w:tcPr>
            <w:tcW w:w="2546" w:type="dxa"/>
            <w:noWrap w:val="0"/>
            <w:vAlign w:val="center"/>
          </w:tcPr>
          <w:p w14:paraId="77AD9F08">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kern w:val="0"/>
                <w:sz w:val="24"/>
                <w:szCs w:val="24"/>
                <w:lang w:val="en-US" w:eastAsia="zh-CN" w:bidi="ar"/>
              </w:rPr>
              <w:t>特色生态农业强镇</w:t>
            </w:r>
          </w:p>
        </w:tc>
      </w:tr>
      <w:tr w14:paraId="2B63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1" w:type="dxa"/>
            <w:noWrap w:val="0"/>
            <w:vAlign w:val="center"/>
          </w:tcPr>
          <w:p w14:paraId="5FFFFD6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徐望镇</w:t>
            </w:r>
          </w:p>
        </w:tc>
        <w:tc>
          <w:tcPr>
            <w:tcW w:w="1453" w:type="dxa"/>
            <w:noWrap w:val="0"/>
            <w:vAlign w:val="center"/>
          </w:tcPr>
          <w:p w14:paraId="6619A2C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sz w:val="24"/>
                <w:szCs w:val="24"/>
                <w:vertAlign w:val="baseline"/>
                <w:rtl w:val="0"/>
                <w:lang w:val="en-US" w:eastAsia="zh-CN"/>
              </w:rPr>
              <w:t>特色镇</w:t>
            </w:r>
          </w:p>
        </w:tc>
        <w:tc>
          <w:tcPr>
            <w:tcW w:w="2247" w:type="dxa"/>
            <w:noWrap w:val="0"/>
            <w:vAlign w:val="center"/>
          </w:tcPr>
          <w:p w14:paraId="12E5F9F3">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kern w:val="0"/>
                <w:sz w:val="24"/>
                <w:szCs w:val="24"/>
                <w:lang w:val="en-US" w:eastAsia="zh-CN" w:bidi="ar"/>
              </w:rPr>
              <w:t>绿色工业型</w:t>
            </w:r>
          </w:p>
        </w:tc>
        <w:tc>
          <w:tcPr>
            <w:tcW w:w="2546" w:type="dxa"/>
            <w:noWrap w:val="0"/>
            <w:vAlign w:val="center"/>
          </w:tcPr>
          <w:p w14:paraId="3ACA4593">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color w:val="auto"/>
                <w:sz w:val="24"/>
                <w:szCs w:val="24"/>
                <w:vertAlign w:val="baseline"/>
                <w:rtl w:val="0"/>
                <w:lang w:val="en-US" w:eastAsia="zh-CN"/>
              </w:rPr>
            </w:pPr>
            <w:r>
              <w:rPr>
                <w:rFonts w:hint="default" w:ascii="Times New Roman" w:hAnsi="Times New Roman" w:eastAsia="仿宋_GB2312" w:cs="Times New Roman"/>
                <w:color w:val="auto"/>
                <w:kern w:val="0"/>
                <w:sz w:val="24"/>
                <w:szCs w:val="24"/>
                <w:lang w:val="en-US" w:eastAsia="zh-CN" w:bidi="ar"/>
              </w:rPr>
              <w:t>循环经济示范镇</w:t>
            </w:r>
          </w:p>
        </w:tc>
      </w:tr>
    </w:tbl>
    <w:p w14:paraId="288C2F99">
      <w:pPr>
        <w:ind w:left="0" w:leftChars="0" w:firstLine="0" w:firstLineChars="0"/>
        <w:rPr>
          <w:rFonts w:hint="default" w:ascii="Times New Roman" w:hAnsi="Times New Roman" w:eastAsia="方正小标宋简体" w:cs="Times New Roman"/>
          <w:b w:val="0"/>
          <w:bCs/>
          <w:color w:val="auto"/>
          <w:spacing w:val="0"/>
          <w:kern w:val="0"/>
          <w:sz w:val="36"/>
          <w:szCs w:val="36"/>
          <w:lang w:val="en-US" w:eastAsia="zh-CN"/>
        </w:rPr>
        <w:sectPr>
          <w:pgSz w:w="11906" w:h="16838"/>
          <w:pgMar w:top="2098" w:right="1474" w:bottom="1984" w:left="1587" w:header="851" w:footer="1304" w:gutter="0"/>
          <w:paperSrc/>
          <w:pgBorders>
            <w:top w:val="none" w:sz="0" w:space="0"/>
            <w:left w:val="none" w:sz="0" w:space="0"/>
            <w:bottom w:val="none" w:sz="0" w:space="0"/>
            <w:right w:val="none" w:sz="0" w:space="0"/>
          </w:pgBorders>
          <w:pgNumType w:fmt="decimal"/>
          <w:cols w:space="720" w:num="1"/>
          <w:rtlGutter w:val="0"/>
          <w:docGrid w:type="linesAndChars" w:linePitch="579" w:charSpace="-842"/>
        </w:sectPr>
      </w:pPr>
    </w:p>
    <w:p w14:paraId="35E51DA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rtl w:val="0"/>
          <w:lang w:val="en-US" w:eastAsia="zh-CN"/>
        </w:rPr>
      </w:pPr>
      <w:bookmarkStart w:id="46" w:name="_Toc26413"/>
      <w:bookmarkStart w:id="47" w:name="_Toc11271"/>
      <w:bookmarkStart w:id="48" w:name="_Toc6982"/>
      <w:r>
        <w:rPr>
          <w:rFonts w:hint="eastAsia" w:ascii="方正小标宋简体" w:hAnsi="方正小标宋简体" w:eastAsia="方正小标宋简体" w:cs="方正小标宋简体"/>
          <w:sz w:val="44"/>
          <w:szCs w:val="44"/>
          <w:lang w:val="en-US" w:eastAsia="zh-CN"/>
        </w:rPr>
        <w:t xml:space="preserve">第二章  </w:t>
      </w:r>
      <w:r>
        <w:rPr>
          <w:rFonts w:hint="eastAsia" w:ascii="方正小标宋简体" w:hAnsi="方正小标宋简体" w:eastAsia="方正小标宋简体" w:cs="方正小标宋简体"/>
          <w:sz w:val="44"/>
          <w:szCs w:val="44"/>
          <w:rtl w:val="0"/>
          <w:lang w:val="en-US" w:eastAsia="zh-CN"/>
        </w:rPr>
        <w:t>构建现代化产业体系，</w:t>
      </w:r>
      <w:bookmarkEnd w:id="46"/>
      <w:bookmarkEnd w:id="47"/>
      <w:r>
        <w:rPr>
          <w:rFonts w:hint="eastAsia" w:ascii="方正小标宋简体" w:hAnsi="方正小标宋简体" w:eastAsia="方正小标宋简体" w:cs="方正小标宋简体"/>
          <w:sz w:val="44"/>
          <w:szCs w:val="44"/>
          <w:rtl w:val="0"/>
          <w:lang w:val="en-US" w:eastAsia="zh-CN"/>
        </w:rPr>
        <w:t>塑造高质量</w:t>
      </w:r>
    </w:p>
    <w:p w14:paraId="5E9B71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rtl w:val="0"/>
          <w:lang w:val="en-US" w:eastAsia="zh-CN"/>
        </w:rPr>
      </w:pPr>
      <w:r>
        <w:rPr>
          <w:rFonts w:hint="eastAsia" w:ascii="方正小标宋简体" w:hAnsi="方正小标宋简体" w:eastAsia="方正小标宋简体" w:cs="方正小标宋简体"/>
          <w:sz w:val="44"/>
          <w:szCs w:val="44"/>
          <w:rtl w:val="0"/>
          <w:lang w:val="en-US" w:eastAsia="zh-CN"/>
        </w:rPr>
        <w:t>发展新优势</w:t>
      </w:r>
      <w:bookmarkEnd w:id="48"/>
    </w:p>
    <w:p w14:paraId="6614B669">
      <w:pPr>
        <w:keepNext w:val="0"/>
        <w:keepLines w:val="0"/>
        <w:pageBreakBefore w:val="0"/>
        <w:widowControl w:val="0"/>
        <w:kinsoku/>
        <w:wordWrap/>
        <w:overflowPunct/>
        <w:topLinePunct w:val="0"/>
        <w:autoSpaceDE/>
        <w:autoSpaceDN/>
        <w:bidi w:val="0"/>
        <w:adjustRightInd/>
        <w:snapToGrid/>
        <w:spacing w:line="240" w:lineRule="auto"/>
        <w:rPr>
          <w:rFonts w:hint="default"/>
          <w:rtl w:val="0"/>
          <w:lang w:val="en-US" w:eastAsia="zh-CN"/>
        </w:rPr>
      </w:pPr>
    </w:p>
    <w:p w14:paraId="0088305B">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Cs w:val="32"/>
          <w:lang w:val="en-US" w:eastAsia="zh-CN"/>
        </w:rPr>
      </w:pPr>
      <w:r>
        <w:rPr>
          <w:rFonts w:hint="default" w:ascii="Times New Roman" w:hAnsi="Times New Roman" w:cs="Times New Roman"/>
          <w:color w:val="auto"/>
          <w:szCs w:val="32"/>
          <w:lang w:val="en-US" w:eastAsia="zh-CN"/>
        </w:rPr>
        <w:t>坚持</w:t>
      </w:r>
      <w:r>
        <w:rPr>
          <w:rFonts w:hint="default" w:ascii="Times New Roman" w:hAnsi="Times New Roman" w:eastAsia="仿宋_GB2312" w:cs="Times New Roman"/>
          <w:color w:val="auto"/>
          <w:szCs w:val="32"/>
          <w:lang w:val="en-US" w:eastAsia="zh-CN"/>
        </w:rPr>
        <w:t>把发展经济的着力点放在实体经济上，</w:t>
      </w:r>
      <w:r>
        <w:rPr>
          <w:rFonts w:hint="default" w:ascii="Times New Roman" w:hAnsi="Times New Roman" w:cs="Times New Roman"/>
          <w:color w:val="auto"/>
          <w:szCs w:val="32"/>
          <w:lang w:val="en-US" w:eastAsia="zh-CN"/>
        </w:rPr>
        <w:t>坚持智能化、绿色化、融合化方向，</w:t>
      </w:r>
      <w:r>
        <w:rPr>
          <w:rFonts w:hint="default" w:ascii="Times New Roman" w:hAnsi="Times New Roman" w:cs="Times New Roman"/>
          <w:color w:val="auto"/>
          <w:sz w:val="32"/>
          <w:szCs w:val="32"/>
          <w:lang w:val="en-US" w:eastAsia="zh-CN"/>
        </w:rPr>
        <w:t>巩固</w:t>
      </w:r>
      <w:r>
        <w:rPr>
          <w:rFonts w:hint="default" w:ascii="Times New Roman" w:hAnsi="Times New Roman" w:eastAsia="仿宋_GB2312" w:cs="Times New Roman"/>
          <w:color w:val="auto"/>
          <w:szCs w:val="32"/>
          <w:lang w:val="en-US" w:eastAsia="zh-CN"/>
        </w:rPr>
        <w:t>提升优势产业，升级改造传统产业，谋划布局新兴产业和未来产业，以实施产业链</w:t>
      </w:r>
      <w:r>
        <w:rPr>
          <w:rFonts w:hint="eastAsia" w:cs="Times New Roman"/>
          <w:color w:val="auto"/>
          <w:szCs w:val="32"/>
          <w:lang w:val="en-US" w:eastAsia="zh-CN"/>
        </w:rPr>
        <w:t>“</w:t>
      </w:r>
      <w:r>
        <w:rPr>
          <w:rFonts w:hint="default" w:ascii="Times New Roman" w:hAnsi="Times New Roman" w:eastAsia="仿宋_GB2312" w:cs="Times New Roman"/>
          <w:color w:val="auto"/>
          <w:szCs w:val="32"/>
          <w:lang w:val="en-US" w:eastAsia="zh-CN"/>
        </w:rPr>
        <w:t>链长制</w:t>
      </w:r>
      <w:r>
        <w:rPr>
          <w:rFonts w:hint="eastAsia" w:cs="Times New Roman"/>
          <w:color w:val="auto"/>
          <w:szCs w:val="32"/>
          <w:lang w:val="en-US" w:eastAsia="zh-CN"/>
        </w:rPr>
        <w:t>”</w:t>
      </w:r>
      <w:r>
        <w:rPr>
          <w:rFonts w:hint="default" w:ascii="Times New Roman" w:hAnsi="Times New Roman" w:eastAsia="仿宋_GB2312" w:cs="Times New Roman"/>
          <w:color w:val="auto"/>
          <w:szCs w:val="32"/>
          <w:lang w:val="en-US" w:eastAsia="zh-CN"/>
        </w:rPr>
        <w:t>为抓手，</w:t>
      </w:r>
      <w:r>
        <w:rPr>
          <w:rFonts w:hint="default" w:ascii="Times New Roman" w:hAnsi="Times New Roman" w:cs="Times New Roman"/>
          <w:color w:val="auto"/>
          <w:szCs w:val="32"/>
          <w:lang w:val="en-US" w:eastAsia="zh-CN"/>
        </w:rPr>
        <w:t>重点打造文化旅游、装备制造、现代商贸、绿色食药、数字经济等优势产业集群，加快</w:t>
      </w:r>
      <w:r>
        <w:rPr>
          <w:rFonts w:hint="default" w:ascii="Times New Roman" w:hAnsi="Times New Roman" w:eastAsia="仿宋_GB2312" w:cs="Times New Roman"/>
          <w:color w:val="auto"/>
          <w:szCs w:val="32"/>
          <w:lang w:val="en-US" w:eastAsia="zh-CN"/>
        </w:rPr>
        <w:t>构建</w:t>
      </w:r>
      <w:r>
        <w:rPr>
          <w:rFonts w:hint="default" w:ascii="Times New Roman" w:hAnsi="Times New Roman" w:cs="Times New Roman"/>
          <w:color w:val="auto"/>
          <w:szCs w:val="32"/>
          <w:lang w:val="en-US" w:eastAsia="zh-CN"/>
        </w:rPr>
        <w:t>以现代服务业为首位、先进制造业为支撑、战略性新兴产业为引领、都市农业为基础、数字经济赋能千行百业的具有汉台特色的现代化产业体系，</w:t>
      </w:r>
      <w:r>
        <w:rPr>
          <w:rFonts w:hint="default" w:ascii="Times New Roman" w:hAnsi="Times New Roman" w:eastAsia="仿宋_GB2312" w:cs="Times New Roman"/>
          <w:color w:val="auto"/>
          <w:szCs w:val="32"/>
          <w:lang w:val="en-US" w:eastAsia="zh-CN"/>
        </w:rPr>
        <w:t>打造区域经济高质量发展</w:t>
      </w:r>
      <w:r>
        <w:rPr>
          <w:rFonts w:hint="default" w:ascii="Times New Roman" w:hAnsi="Times New Roman" w:cs="Times New Roman"/>
          <w:color w:val="auto"/>
          <w:szCs w:val="32"/>
          <w:lang w:val="en-US" w:eastAsia="zh-CN"/>
        </w:rPr>
        <w:t>引领极</w:t>
      </w:r>
      <w:r>
        <w:rPr>
          <w:rFonts w:hint="default" w:ascii="Times New Roman" w:hAnsi="Times New Roman" w:eastAsia="仿宋_GB2312" w:cs="Times New Roman"/>
          <w:color w:val="auto"/>
          <w:szCs w:val="32"/>
          <w:lang w:val="en-US" w:eastAsia="zh-CN"/>
        </w:rPr>
        <w:t>。</w:t>
      </w:r>
    </w:p>
    <w:p w14:paraId="0C43ED3A">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CESI黑体-GB2312" w:hAnsi="CESI黑体-GB2312" w:eastAsia="CESI黑体-GB2312" w:cs="CESI黑体-GB2312"/>
          <w:b w:val="0"/>
          <w:bCs/>
          <w:color w:val="auto"/>
          <w:lang w:val="en-US" w:eastAsia="zh-CN"/>
        </w:rPr>
      </w:pPr>
      <w:bookmarkStart w:id="49" w:name="_Toc21788"/>
      <w:bookmarkStart w:id="50" w:name="_Toc14764"/>
      <w:bookmarkStart w:id="51" w:name="_Toc31647"/>
      <w:r>
        <w:rPr>
          <w:rFonts w:hint="eastAsia" w:ascii="CESI黑体-GB2312" w:hAnsi="CESI黑体-GB2312" w:eastAsia="CESI黑体-GB2312" w:cs="CESI黑体-GB2312"/>
          <w:b w:val="0"/>
          <w:bCs/>
          <w:color w:val="auto"/>
          <w:lang w:val="en-US" w:eastAsia="zh-CN"/>
        </w:rPr>
        <w:t xml:space="preserve">第一节  </w:t>
      </w:r>
      <w:bookmarkEnd w:id="49"/>
      <w:bookmarkEnd w:id="50"/>
      <w:r>
        <w:rPr>
          <w:rFonts w:hint="eastAsia" w:ascii="CESI黑体-GB2312" w:hAnsi="CESI黑体-GB2312" w:eastAsia="CESI黑体-GB2312" w:cs="CESI黑体-GB2312"/>
          <w:b w:val="0"/>
          <w:bCs/>
          <w:color w:val="auto"/>
          <w:lang w:val="en-US" w:eastAsia="zh-CN"/>
        </w:rPr>
        <w:t>促进服务业优质高效发展</w:t>
      </w:r>
      <w:bookmarkEnd w:id="51"/>
    </w:p>
    <w:p w14:paraId="0169C764">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lang w:val="en-US" w:eastAsia="zh-CN"/>
        </w:rPr>
      </w:pPr>
      <w:r>
        <w:rPr>
          <w:rFonts w:hint="default" w:ascii="Times New Roman" w:hAnsi="Times New Roman" w:eastAsia="仿宋_GB2312" w:cs="Times New Roman"/>
          <w:color w:val="auto"/>
          <w:szCs w:val="32"/>
        </w:rPr>
        <w:t>以满足人民美好生活需要、开辟新领域新赛道为导向，</w:t>
      </w:r>
      <w:r>
        <w:rPr>
          <w:rFonts w:hint="default" w:ascii="Times New Roman" w:hAnsi="Times New Roman" w:cs="Times New Roman"/>
          <w:color w:val="auto"/>
          <w:szCs w:val="32"/>
          <w:lang w:val="en-US" w:eastAsia="zh-CN"/>
        </w:rPr>
        <w:t>分领域</w:t>
      </w:r>
      <w:r>
        <w:rPr>
          <w:rFonts w:hint="default" w:ascii="Times New Roman" w:hAnsi="Times New Roman" w:eastAsia="仿宋_GB2312" w:cs="Times New Roman"/>
          <w:color w:val="auto"/>
          <w:szCs w:val="32"/>
        </w:rPr>
        <w:t>推动生产性服务业向专业化和价值链高端延伸，</w:t>
      </w:r>
      <w:r>
        <w:rPr>
          <w:rFonts w:hint="default" w:ascii="Times New Roman" w:hAnsi="Times New Roman" w:cs="Times New Roman"/>
          <w:color w:val="auto"/>
          <w:szCs w:val="32"/>
          <w:lang w:val="en-US" w:eastAsia="zh-CN"/>
        </w:rPr>
        <w:t>促进</w:t>
      </w:r>
      <w:r>
        <w:rPr>
          <w:rFonts w:hint="default" w:ascii="Times New Roman" w:hAnsi="Times New Roman" w:eastAsia="仿宋_GB2312" w:cs="Times New Roman"/>
          <w:color w:val="auto"/>
          <w:szCs w:val="32"/>
        </w:rPr>
        <w:t>生活性服务业实现高品质</w:t>
      </w:r>
      <w:r>
        <w:rPr>
          <w:rFonts w:hint="default" w:ascii="Times New Roman" w:hAnsi="Times New Roman" w:cs="Times New Roman"/>
          <w:color w:val="auto"/>
          <w:szCs w:val="32"/>
          <w:lang w:eastAsia="zh-CN"/>
        </w:rPr>
        <w:t>、</w:t>
      </w:r>
      <w:r>
        <w:rPr>
          <w:rFonts w:hint="default" w:ascii="Times New Roman" w:hAnsi="Times New Roman" w:eastAsia="仿宋_GB2312" w:cs="Times New Roman"/>
          <w:color w:val="auto"/>
          <w:szCs w:val="32"/>
        </w:rPr>
        <w:t>多样化</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lang w:val="en-US" w:eastAsia="zh-CN"/>
        </w:rPr>
        <w:t>便利化发展</w:t>
      </w:r>
      <w:r>
        <w:rPr>
          <w:rFonts w:hint="default" w:ascii="Times New Roman" w:hAnsi="Times New Roman" w:eastAsia="仿宋_GB2312" w:cs="Times New Roman"/>
          <w:color w:val="auto"/>
          <w:szCs w:val="32"/>
        </w:rPr>
        <w:t>，</w:t>
      </w:r>
      <w:r>
        <w:rPr>
          <w:rFonts w:hint="default" w:ascii="Times New Roman" w:hAnsi="Times New Roman" w:eastAsia="仿宋_GB2312" w:cs="Times New Roman"/>
          <w:color w:val="auto"/>
          <w:szCs w:val="32"/>
          <w:lang w:val="en-US" w:eastAsia="zh-CN"/>
        </w:rPr>
        <w:t>创新服务供给，培育发展新消费、新业态、新模式，</w:t>
      </w:r>
      <w:r>
        <w:rPr>
          <w:rFonts w:hint="default" w:ascii="Times New Roman" w:hAnsi="Times New Roman" w:cs="Times New Roman"/>
          <w:color w:val="auto"/>
          <w:szCs w:val="32"/>
          <w:lang w:val="en-US" w:eastAsia="zh-CN"/>
        </w:rPr>
        <w:t>提高</w:t>
      </w:r>
      <w:r>
        <w:rPr>
          <w:rFonts w:hint="default" w:ascii="Times New Roman" w:hAnsi="Times New Roman" w:eastAsia="仿宋_GB2312" w:cs="Times New Roman"/>
          <w:color w:val="auto"/>
          <w:szCs w:val="32"/>
        </w:rPr>
        <w:t>现代服务业</w:t>
      </w:r>
      <w:r>
        <w:rPr>
          <w:rFonts w:hint="default" w:ascii="Times New Roman" w:hAnsi="Times New Roman" w:cs="Times New Roman"/>
          <w:color w:val="auto"/>
          <w:szCs w:val="32"/>
          <w:lang w:val="en-US" w:eastAsia="zh-CN"/>
        </w:rPr>
        <w:t>与</w:t>
      </w:r>
      <w:r>
        <w:rPr>
          <w:rFonts w:hint="default" w:ascii="Times New Roman" w:hAnsi="Times New Roman" w:eastAsia="仿宋_GB2312" w:cs="Times New Roman"/>
          <w:color w:val="auto"/>
          <w:szCs w:val="32"/>
        </w:rPr>
        <w:t>先进制造业、</w:t>
      </w:r>
      <w:r>
        <w:rPr>
          <w:rFonts w:hint="default" w:ascii="Times New Roman" w:hAnsi="Times New Roman" w:cs="Times New Roman"/>
          <w:color w:val="auto"/>
          <w:szCs w:val="32"/>
          <w:lang w:val="en-US" w:eastAsia="zh-CN"/>
        </w:rPr>
        <w:t>都市农业融合发展水平</w:t>
      </w:r>
      <w:r>
        <w:rPr>
          <w:rFonts w:hint="default" w:ascii="Times New Roman" w:hAnsi="Times New Roman" w:eastAsia="仿宋_GB2312" w:cs="Times New Roman"/>
          <w:i w:val="0"/>
          <w:iCs w:val="0"/>
          <w:caps w:val="0"/>
          <w:color w:val="auto"/>
          <w:spacing w:val="0"/>
          <w:sz w:val="32"/>
          <w:szCs w:val="32"/>
          <w:shd w:val="clear" w:color="auto" w:fill="FFFFFF"/>
        </w:rPr>
        <w:t>，</w:t>
      </w:r>
      <w:r>
        <w:rPr>
          <w:rFonts w:hint="default" w:ascii="Times New Roman" w:hAnsi="Times New Roman" w:cs="Times New Roman"/>
          <w:color w:val="auto"/>
          <w:szCs w:val="32"/>
          <w:lang w:val="en-US" w:eastAsia="zh-CN"/>
        </w:rPr>
        <w:t>建设高品质三产服务聚集区。到2030年，服务业增加值达到405亿元。</w:t>
      </w:r>
    </w:p>
    <w:p w14:paraId="5DC946DE">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r>
        <w:rPr>
          <w:rFonts w:hint="default" w:ascii="Times New Roman" w:hAnsi="Times New Roman" w:eastAsia="黑体" w:cs="Times New Roman"/>
          <w:b w:val="0"/>
          <w:bCs/>
          <w:color w:val="auto"/>
          <w:sz w:val="32"/>
          <w:szCs w:val="32"/>
          <w:lang w:val="en-US" w:eastAsia="zh-CN"/>
        </w:rPr>
        <w:t>一、做大做强文化旅游业</w:t>
      </w:r>
    </w:p>
    <w:p w14:paraId="75E2BD18">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按照</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全域化布局、全景区打造、全业态提升、全方位营销</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的发展思路，深挖两汉三国、秦巴风情、古褒国文化、生态文化等资源，</w:t>
      </w:r>
      <w:r>
        <w:rPr>
          <w:rFonts w:hint="default" w:ascii="Times New Roman" w:hAnsi="Times New Roman" w:cs="Times New Roman"/>
          <w:color w:val="auto"/>
          <w:kern w:val="0"/>
          <w:szCs w:val="32"/>
        </w:rPr>
        <w:t>推动</w:t>
      </w:r>
      <w:r>
        <w:rPr>
          <w:rFonts w:hint="default" w:ascii="Times New Roman" w:hAnsi="Times New Roman" w:cs="Times New Roman"/>
          <w:color w:val="auto"/>
          <w:kern w:val="0"/>
          <w:szCs w:val="32"/>
          <w:lang w:val="en-US" w:eastAsia="zh-CN"/>
        </w:rPr>
        <w:t>文化旅游与三次产业深度融合，</w:t>
      </w:r>
      <w:r>
        <w:rPr>
          <w:rFonts w:hint="default" w:ascii="Times New Roman" w:hAnsi="Times New Roman" w:cs="Times New Roman"/>
          <w:color w:val="auto"/>
          <w:kern w:val="0"/>
          <w:szCs w:val="32"/>
        </w:rPr>
        <w:t>打造精品旅游景区，完善配套服务体系，</w:t>
      </w:r>
      <w:r>
        <w:rPr>
          <w:rFonts w:hint="default" w:ascii="Times New Roman" w:hAnsi="Times New Roman" w:eastAsia="仿宋_GB2312" w:cs="Times New Roman"/>
          <w:color w:val="auto"/>
          <w:sz w:val="32"/>
          <w:szCs w:val="32"/>
          <w:lang w:val="en-US" w:eastAsia="zh-CN"/>
        </w:rPr>
        <w:t>构建</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一区三带三板块</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旅游空间格局，推动旅游产品创新、业态创新和服务升级，</w:t>
      </w:r>
      <w:r>
        <w:rPr>
          <w:rFonts w:hint="default" w:ascii="Times New Roman" w:hAnsi="Times New Roman" w:cs="Times New Roman"/>
          <w:color w:val="auto"/>
          <w:sz w:val="32"/>
          <w:szCs w:val="32"/>
          <w:lang w:val="en-US" w:eastAsia="zh-CN"/>
        </w:rPr>
        <w:t>叫响做靓</w:t>
      </w:r>
      <w:r>
        <w:rPr>
          <w:rFonts w:hint="eastAsia" w:cs="Times New Roman"/>
          <w:color w:val="auto"/>
          <w:kern w:val="0"/>
          <w:szCs w:val="32"/>
          <w:lang w:eastAsia="zh-CN"/>
        </w:rPr>
        <w:t>“</w:t>
      </w:r>
      <w:r>
        <w:rPr>
          <w:rFonts w:hint="default" w:ascii="Times New Roman" w:hAnsi="Times New Roman" w:eastAsia="仿宋_GB2312" w:cs="Times New Roman"/>
          <w:color w:val="auto"/>
          <w:kern w:val="0"/>
          <w:szCs w:val="32"/>
          <w:lang w:eastAsia="zh-CN"/>
        </w:rPr>
        <w:t>汉家发祥地·秦巴古汉台</w:t>
      </w:r>
      <w:r>
        <w:rPr>
          <w:rFonts w:hint="eastAsia" w:cs="Times New Roman"/>
          <w:color w:val="auto"/>
          <w:kern w:val="0"/>
          <w:szCs w:val="32"/>
          <w:lang w:eastAsia="zh-CN"/>
        </w:rPr>
        <w:t>”</w:t>
      </w:r>
      <w:r>
        <w:rPr>
          <w:rFonts w:hint="default" w:ascii="Times New Roman" w:hAnsi="Times New Roman" w:eastAsia="仿宋_GB2312" w:cs="Times New Roman"/>
          <w:color w:val="auto"/>
          <w:kern w:val="0"/>
          <w:szCs w:val="32"/>
        </w:rPr>
        <w:t>旅游形象</w:t>
      </w:r>
      <w:r>
        <w:rPr>
          <w:rFonts w:hint="default" w:ascii="Times New Roman" w:hAnsi="Times New Roman" w:cs="Times New Roman"/>
          <w:color w:val="auto"/>
          <w:kern w:val="0"/>
          <w:szCs w:val="32"/>
          <w:lang w:eastAsia="zh-CN"/>
        </w:rPr>
        <w:t>，</w:t>
      </w:r>
      <w:r>
        <w:rPr>
          <w:rFonts w:hint="default" w:ascii="Times New Roman" w:hAnsi="Times New Roman" w:cs="Times New Roman"/>
          <w:color w:val="auto"/>
          <w:sz w:val="32"/>
          <w:szCs w:val="32"/>
          <w:lang w:val="en-US" w:eastAsia="zh-CN"/>
        </w:rPr>
        <w:t>建设全市文旅集散区，</w:t>
      </w:r>
      <w:r>
        <w:rPr>
          <w:rFonts w:hint="default" w:ascii="Times New Roman" w:hAnsi="Times New Roman" w:eastAsia="仿宋_GB2312" w:cs="Times New Roman"/>
          <w:color w:val="auto"/>
          <w:sz w:val="32"/>
          <w:szCs w:val="32"/>
          <w:lang w:val="en-US" w:eastAsia="zh-CN"/>
        </w:rPr>
        <w:t>建成全国文化旅游强区，打造全国知名旅游目的地</w:t>
      </w:r>
      <w:r>
        <w:rPr>
          <w:rFonts w:hint="default" w:ascii="Times New Roman" w:hAnsi="Times New Roman" w:cs="Times New Roman"/>
          <w:color w:val="auto"/>
          <w:sz w:val="32"/>
          <w:szCs w:val="32"/>
          <w:lang w:val="en-US" w:eastAsia="zh-CN"/>
        </w:rPr>
        <w:t>城市</w:t>
      </w:r>
      <w:r>
        <w:rPr>
          <w:rFonts w:hint="default" w:ascii="Times New Roman" w:hAnsi="Times New Roman" w:eastAsia="仿宋_GB2312" w:cs="Times New Roman"/>
          <w:color w:val="auto"/>
          <w:sz w:val="32"/>
          <w:szCs w:val="32"/>
          <w:lang w:val="en-US" w:eastAsia="zh-CN"/>
        </w:rPr>
        <w:t>。到2030年，游客接待量达到1500万人次，实现旅游综合收入150亿元。</w:t>
      </w:r>
    </w:p>
    <w:tbl>
      <w:tblPr>
        <w:tblStyle w:val="15"/>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0"/>
      </w:tblGrid>
      <w:tr w14:paraId="76FB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500" w:type="dxa"/>
            <w:noWrap w:val="0"/>
            <w:vAlign w:val="center"/>
          </w:tcPr>
          <w:p w14:paraId="13E67F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pacing w:val="0"/>
                <w:kern w:val="2"/>
                <w:sz w:val="32"/>
                <w:szCs w:val="32"/>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 xml:space="preserve">专栏2-1  </w:t>
            </w:r>
            <w:r>
              <w:rPr>
                <w:rFonts w:hint="eastAsia" w:eastAsia="黑体" w:cs="Times New Roman"/>
                <w:color w:val="auto"/>
                <w:spacing w:val="0"/>
                <w:kern w:val="2"/>
                <w:sz w:val="28"/>
                <w:szCs w:val="28"/>
                <w:vertAlign w:val="baseline"/>
                <w:lang w:val="en-US" w:eastAsia="zh-CN" w:bidi="ar-SA"/>
              </w:rPr>
              <w:t>“</w:t>
            </w:r>
            <w:r>
              <w:rPr>
                <w:rFonts w:hint="default" w:ascii="Times New Roman" w:hAnsi="Times New Roman" w:eastAsia="黑体" w:cs="Times New Roman"/>
                <w:color w:val="auto"/>
                <w:spacing w:val="0"/>
                <w:kern w:val="2"/>
                <w:sz w:val="28"/>
                <w:szCs w:val="28"/>
                <w:vertAlign w:val="baseline"/>
                <w:lang w:val="en-US" w:eastAsia="zh-CN" w:bidi="ar-SA"/>
              </w:rPr>
              <w:t>一区三带三板块</w:t>
            </w:r>
            <w:r>
              <w:rPr>
                <w:rFonts w:hint="eastAsia" w:eastAsia="黑体" w:cs="Times New Roman"/>
                <w:color w:val="auto"/>
                <w:spacing w:val="0"/>
                <w:kern w:val="2"/>
                <w:sz w:val="28"/>
                <w:szCs w:val="28"/>
                <w:vertAlign w:val="baseline"/>
                <w:lang w:val="en-US" w:eastAsia="zh-CN" w:bidi="ar-SA"/>
              </w:rPr>
              <w:t>”</w:t>
            </w:r>
            <w:r>
              <w:rPr>
                <w:rFonts w:hint="default" w:ascii="Times New Roman" w:hAnsi="Times New Roman" w:eastAsia="黑体" w:cs="Times New Roman"/>
                <w:color w:val="auto"/>
                <w:spacing w:val="0"/>
                <w:kern w:val="2"/>
                <w:sz w:val="28"/>
                <w:szCs w:val="28"/>
                <w:vertAlign w:val="baseline"/>
                <w:lang w:val="en-US" w:eastAsia="zh-CN" w:bidi="ar-SA"/>
              </w:rPr>
              <w:t>旅游空间布局</w:t>
            </w:r>
          </w:p>
        </w:tc>
      </w:tr>
      <w:tr w14:paraId="0BF7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4" w:hRule="atLeast"/>
        </w:trPr>
        <w:tc>
          <w:tcPr>
            <w:tcW w:w="8500" w:type="dxa"/>
            <w:noWrap w:val="0"/>
            <w:vAlign w:val="top"/>
          </w:tcPr>
          <w:p w14:paraId="5BC81964">
            <w:pPr>
              <w:keepNext w:val="0"/>
              <w:keepLines w:val="0"/>
              <w:pageBreakBefore w:val="0"/>
              <w:widowControl w:val="0"/>
              <w:kinsoku/>
              <w:wordWrap/>
              <w:overflowPunct/>
              <w:topLinePunct w:val="0"/>
              <w:autoSpaceDE/>
              <w:autoSpaceDN/>
              <w:bidi w:val="0"/>
              <w:adjustRightInd/>
              <w:snapToGrid/>
              <w:spacing w:line="400" w:lineRule="exact"/>
              <w:textAlignment w:val="center"/>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b/>
                <w:bCs/>
                <w:color w:val="auto"/>
                <w:sz w:val="24"/>
                <w:szCs w:val="24"/>
                <w:lang w:val="en-US" w:eastAsia="zh-CN"/>
              </w:rPr>
              <w:t>一区：</w:t>
            </w:r>
            <w:r>
              <w:rPr>
                <w:rFonts w:hint="default" w:ascii="Times New Roman" w:hAnsi="Times New Roman" w:eastAsia="仿宋_GB2312" w:cs="Times New Roman"/>
                <w:color w:val="auto"/>
                <w:sz w:val="24"/>
                <w:szCs w:val="24"/>
              </w:rPr>
              <w:t>以中心城区为主体的消费集散中心区暨汉文化体验区</w:t>
            </w:r>
            <w:r>
              <w:rPr>
                <w:rFonts w:hint="default" w:ascii="Times New Roman" w:hAnsi="Times New Roman" w:cs="Times New Roman"/>
                <w:color w:val="auto"/>
                <w:sz w:val="24"/>
                <w:szCs w:val="24"/>
                <w:lang w:eastAsia="zh-CN"/>
              </w:rPr>
              <w:t>。</w:t>
            </w:r>
          </w:p>
          <w:p w14:paraId="7810854B">
            <w:pPr>
              <w:keepNext w:val="0"/>
              <w:keepLines w:val="0"/>
              <w:pageBreakBefore w:val="0"/>
              <w:widowControl w:val="0"/>
              <w:kinsoku/>
              <w:wordWrap/>
              <w:overflowPunct/>
              <w:topLinePunct w:val="0"/>
              <w:autoSpaceDE/>
              <w:autoSpaceDN/>
              <w:bidi w:val="0"/>
              <w:adjustRightInd/>
              <w:snapToGrid/>
              <w:spacing w:line="400" w:lineRule="exact"/>
              <w:textAlignment w:val="center"/>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b/>
                <w:bCs/>
                <w:color w:val="auto"/>
                <w:sz w:val="24"/>
                <w:szCs w:val="24"/>
                <w:lang w:val="en-US" w:eastAsia="zh-CN"/>
              </w:rPr>
              <w:t>三带：</w:t>
            </w:r>
            <w:r>
              <w:rPr>
                <w:rFonts w:hint="default" w:ascii="Times New Roman" w:hAnsi="Times New Roman" w:eastAsia="仿宋_GB2312" w:cs="Times New Roman"/>
                <w:color w:val="auto"/>
                <w:sz w:val="24"/>
                <w:szCs w:val="24"/>
              </w:rPr>
              <w:t>以河东店镇山河堰遗址、武乡镇天台山为主导的</w:t>
            </w:r>
            <w:r>
              <w:rPr>
                <w:rFonts w:hint="eastAsia" w:cs="Times New Roman"/>
                <w:color w:val="auto"/>
                <w:sz w:val="24"/>
                <w:szCs w:val="24"/>
                <w:lang w:eastAsia="zh-CN"/>
              </w:rPr>
              <w:t>“</w:t>
            </w:r>
            <w:r>
              <w:rPr>
                <w:rFonts w:hint="default" w:ascii="Times New Roman" w:hAnsi="Times New Roman" w:eastAsia="仿宋_GB2312" w:cs="Times New Roman"/>
                <w:color w:val="auto"/>
                <w:sz w:val="24"/>
                <w:szCs w:val="24"/>
              </w:rPr>
              <w:t>秦岭寻幽</w:t>
            </w:r>
            <w:r>
              <w:rPr>
                <w:rFonts w:hint="eastAsia" w:cs="Times New Roman"/>
                <w:color w:val="auto"/>
                <w:sz w:val="24"/>
                <w:szCs w:val="24"/>
                <w:lang w:eastAsia="zh-CN"/>
              </w:rPr>
              <w:t>”</w:t>
            </w:r>
            <w:r>
              <w:rPr>
                <w:rFonts w:hint="default" w:ascii="Times New Roman" w:hAnsi="Times New Roman" w:eastAsia="仿宋_GB2312" w:cs="Times New Roman"/>
                <w:color w:val="auto"/>
                <w:sz w:val="24"/>
                <w:szCs w:val="24"/>
              </w:rPr>
              <w:t>研学自然风景游览体验带</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以徐望镇、汉王镇、武乡镇南部、宗营镇、河东店</w:t>
            </w:r>
            <w:r>
              <w:rPr>
                <w:rFonts w:hint="default" w:ascii="Times New Roman" w:hAnsi="Times New Roman" w:cs="Times New Roman"/>
                <w:color w:val="auto"/>
                <w:sz w:val="24"/>
                <w:szCs w:val="24"/>
                <w:lang w:val="en-US" w:eastAsia="zh-CN"/>
              </w:rPr>
              <w:t>镇</w:t>
            </w:r>
            <w:r>
              <w:rPr>
                <w:rFonts w:hint="default" w:ascii="Times New Roman" w:hAnsi="Times New Roman" w:eastAsia="仿宋_GB2312" w:cs="Times New Roman"/>
                <w:color w:val="auto"/>
                <w:sz w:val="24"/>
                <w:szCs w:val="24"/>
              </w:rPr>
              <w:t>南部为主导的</w:t>
            </w:r>
            <w:r>
              <w:rPr>
                <w:rFonts w:hint="eastAsia" w:cs="Times New Roman"/>
                <w:color w:val="auto"/>
                <w:sz w:val="24"/>
                <w:szCs w:val="24"/>
                <w:lang w:eastAsia="zh-CN"/>
              </w:rPr>
              <w:t>“</w:t>
            </w:r>
            <w:r>
              <w:rPr>
                <w:rFonts w:hint="default" w:ascii="Times New Roman" w:hAnsi="Times New Roman" w:eastAsia="仿宋_GB2312" w:cs="Times New Roman"/>
                <w:color w:val="auto"/>
                <w:sz w:val="24"/>
                <w:szCs w:val="24"/>
              </w:rPr>
              <w:t>花果飘香</w:t>
            </w:r>
            <w:r>
              <w:rPr>
                <w:rFonts w:hint="eastAsia" w:cs="Times New Roman"/>
                <w:color w:val="auto"/>
                <w:sz w:val="24"/>
                <w:szCs w:val="24"/>
                <w:lang w:eastAsia="zh-CN"/>
              </w:rPr>
              <w:t>”</w:t>
            </w:r>
            <w:r>
              <w:rPr>
                <w:rFonts w:hint="default" w:ascii="Times New Roman" w:hAnsi="Times New Roman" w:eastAsia="仿宋_GB2312" w:cs="Times New Roman"/>
                <w:color w:val="auto"/>
                <w:sz w:val="24"/>
                <w:szCs w:val="24"/>
              </w:rPr>
              <w:t>高品质水果采摘游览带</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以铺镇、七</w:t>
            </w:r>
            <w:r>
              <w:rPr>
                <w:rFonts w:hint="default" w:ascii="Times New Roman" w:hAnsi="Times New Roman" w:cs="Times New Roman"/>
                <w:color w:val="auto"/>
                <w:sz w:val="24"/>
                <w:szCs w:val="24"/>
                <w:lang w:eastAsia="zh-CN"/>
              </w:rPr>
              <w:t>里</w:t>
            </w:r>
            <w:r>
              <w:rPr>
                <w:rFonts w:hint="default" w:ascii="Times New Roman" w:hAnsi="Times New Roman" w:cs="Times New Roman"/>
                <w:color w:val="auto"/>
                <w:sz w:val="24"/>
                <w:szCs w:val="24"/>
                <w:lang w:val="en-US" w:eastAsia="zh-CN"/>
              </w:rPr>
              <w:t>街道</w:t>
            </w:r>
            <w:r>
              <w:rPr>
                <w:rFonts w:hint="default" w:ascii="Times New Roman" w:hAnsi="Times New Roman" w:eastAsia="仿宋_GB2312" w:cs="Times New Roman"/>
                <w:color w:val="auto"/>
                <w:sz w:val="24"/>
                <w:szCs w:val="24"/>
              </w:rPr>
              <w:t>、中心城区沿江地带为主导的</w:t>
            </w:r>
            <w:r>
              <w:rPr>
                <w:rFonts w:hint="eastAsia" w:cs="Times New Roman"/>
                <w:color w:val="auto"/>
                <w:sz w:val="24"/>
                <w:szCs w:val="24"/>
                <w:lang w:eastAsia="zh-CN"/>
              </w:rPr>
              <w:t>“</w:t>
            </w:r>
            <w:r>
              <w:rPr>
                <w:rFonts w:hint="default" w:ascii="Times New Roman" w:hAnsi="Times New Roman" w:eastAsia="仿宋_GB2312" w:cs="Times New Roman"/>
                <w:color w:val="auto"/>
                <w:sz w:val="24"/>
                <w:szCs w:val="24"/>
              </w:rPr>
              <w:t>幸福乐游</w:t>
            </w:r>
            <w:r>
              <w:rPr>
                <w:rFonts w:hint="eastAsia" w:cs="Times New Roman"/>
                <w:color w:val="auto"/>
                <w:sz w:val="24"/>
                <w:szCs w:val="24"/>
                <w:lang w:eastAsia="zh-CN"/>
              </w:rPr>
              <w:t>”</w:t>
            </w:r>
            <w:r>
              <w:rPr>
                <w:rFonts w:hint="default" w:ascii="Times New Roman" w:hAnsi="Times New Roman" w:eastAsia="仿宋_GB2312" w:cs="Times New Roman"/>
                <w:color w:val="auto"/>
                <w:sz w:val="24"/>
                <w:szCs w:val="24"/>
              </w:rPr>
              <w:t>沿江休闲带</w:t>
            </w:r>
            <w:r>
              <w:rPr>
                <w:rFonts w:hint="default" w:ascii="Times New Roman" w:hAnsi="Times New Roman" w:eastAsia="仿宋_GB2312" w:cs="Times New Roman"/>
                <w:color w:val="auto"/>
                <w:sz w:val="24"/>
                <w:szCs w:val="24"/>
                <w:lang w:eastAsia="zh-CN"/>
              </w:rPr>
              <w:t>。</w:t>
            </w:r>
          </w:p>
          <w:p w14:paraId="7419F51B">
            <w:pPr>
              <w:keepNext w:val="0"/>
              <w:keepLines w:val="0"/>
              <w:pageBreakBefore w:val="0"/>
              <w:widowControl w:val="0"/>
              <w:kinsoku/>
              <w:wordWrap/>
              <w:overflowPunct/>
              <w:topLinePunct w:val="0"/>
              <w:autoSpaceDE/>
              <w:autoSpaceDN/>
              <w:bidi w:val="0"/>
              <w:adjustRightInd/>
              <w:snapToGrid/>
              <w:spacing w:line="400" w:lineRule="exact"/>
              <w:textAlignment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三板块：</w:t>
            </w:r>
            <w:r>
              <w:rPr>
                <w:rFonts w:hint="default" w:ascii="Times New Roman" w:hAnsi="Times New Roman" w:eastAsia="仿宋_GB2312" w:cs="Times New Roman"/>
                <w:b w:val="0"/>
                <w:bCs w:val="0"/>
                <w:color w:val="auto"/>
                <w:sz w:val="24"/>
                <w:szCs w:val="24"/>
                <w:lang w:val="en-US" w:eastAsia="zh-CN"/>
              </w:rPr>
              <w:t>以古汉台、饮马池、拜将坛、</w:t>
            </w:r>
            <w:r>
              <w:rPr>
                <w:rFonts w:hint="default" w:ascii="Times New Roman" w:hAnsi="Times New Roman" w:cs="Times New Roman"/>
                <w:b w:val="0"/>
                <w:bCs w:val="0"/>
                <w:color w:val="auto"/>
                <w:sz w:val="24"/>
                <w:szCs w:val="24"/>
                <w:lang w:val="en-US" w:eastAsia="zh-CN"/>
              </w:rPr>
              <w:t>莲花池公园、</w:t>
            </w:r>
            <w:r>
              <w:rPr>
                <w:rFonts w:hint="default" w:ascii="Times New Roman" w:hAnsi="Times New Roman" w:eastAsia="仿宋_GB2312" w:cs="Times New Roman"/>
                <w:b w:val="0"/>
                <w:bCs w:val="0"/>
                <w:color w:val="auto"/>
                <w:sz w:val="24"/>
                <w:szCs w:val="24"/>
                <w:lang w:val="en-US" w:eastAsia="zh-CN"/>
              </w:rPr>
              <w:t>兴汉胜境为主导的</w:t>
            </w:r>
            <w:r>
              <w:rPr>
                <w:rFonts w:hint="eastAsia" w:cs="Times New Roman"/>
                <w:b w:val="0"/>
                <w:bCs w:val="0"/>
                <w:color w:val="auto"/>
                <w:sz w:val="24"/>
                <w:szCs w:val="24"/>
                <w:lang w:val="en-US" w:eastAsia="zh-CN"/>
              </w:rPr>
              <w:t>“</w:t>
            </w:r>
            <w:r>
              <w:rPr>
                <w:rFonts w:hint="default" w:ascii="Times New Roman" w:hAnsi="Times New Roman" w:eastAsia="仿宋_GB2312" w:cs="Times New Roman"/>
                <w:b w:val="0"/>
                <w:bCs w:val="0"/>
                <w:color w:val="auto"/>
                <w:sz w:val="24"/>
                <w:szCs w:val="24"/>
                <w:lang w:val="en-US" w:eastAsia="zh-CN"/>
              </w:rPr>
              <w:t>汉上领秀</w:t>
            </w:r>
            <w:r>
              <w:rPr>
                <w:rFonts w:hint="eastAsia" w:cs="Times New Roman"/>
                <w:b w:val="0"/>
                <w:bCs w:val="0"/>
                <w:color w:val="auto"/>
                <w:sz w:val="24"/>
                <w:szCs w:val="24"/>
                <w:lang w:val="en-US" w:eastAsia="zh-CN"/>
              </w:rPr>
              <w:t>”</w:t>
            </w:r>
            <w:r>
              <w:rPr>
                <w:rFonts w:hint="default" w:ascii="Times New Roman" w:hAnsi="Times New Roman" w:eastAsia="仿宋_GB2312" w:cs="Times New Roman"/>
                <w:b w:val="0"/>
                <w:bCs w:val="0"/>
                <w:color w:val="auto"/>
                <w:sz w:val="24"/>
                <w:szCs w:val="24"/>
                <w:lang w:val="en-US" w:eastAsia="zh-CN"/>
              </w:rPr>
              <w:t>汉文化体验板块，以老君玉龙岛、河东店镇为主导的</w:t>
            </w:r>
            <w:r>
              <w:rPr>
                <w:rFonts w:hint="eastAsia" w:cs="Times New Roman"/>
                <w:b w:val="0"/>
                <w:bCs w:val="0"/>
                <w:color w:val="auto"/>
                <w:sz w:val="24"/>
                <w:szCs w:val="24"/>
                <w:lang w:val="en-US" w:eastAsia="zh-CN"/>
              </w:rPr>
              <w:t>“</w:t>
            </w:r>
            <w:r>
              <w:rPr>
                <w:rFonts w:hint="default" w:ascii="Times New Roman" w:hAnsi="Times New Roman" w:eastAsia="仿宋_GB2312" w:cs="Times New Roman"/>
                <w:b w:val="0"/>
                <w:bCs w:val="0"/>
                <w:color w:val="auto"/>
                <w:sz w:val="24"/>
                <w:szCs w:val="24"/>
                <w:lang w:val="en-US" w:eastAsia="zh-CN"/>
              </w:rPr>
              <w:t>仙境栖隐</w:t>
            </w:r>
            <w:r>
              <w:rPr>
                <w:rFonts w:hint="eastAsia" w:cs="Times New Roman"/>
                <w:b w:val="0"/>
                <w:bCs w:val="0"/>
                <w:color w:val="auto"/>
                <w:sz w:val="24"/>
                <w:szCs w:val="24"/>
                <w:lang w:val="en-US" w:eastAsia="zh-CN"/>
              </w:rPr>
              <w:t>”</w:t>
            </w:r>
            <w:r>
              <w:rPr>
                <w:rFonts w:hint="default" w:ascii="Times New Roman" w:hAnsi="Times New Roman" w:eastAsia="仿宋_GB2312" w:cs="Times New Roman"/>
                <w:b w:val="0"/>
                <w:bCs w:val="0"/>
                <w:color w:val="auto"/>
                <w:sz w:val="24"/>
                <w:szCs w:val="24"/>
                <w:lang w:val="en-US" w:eastAsia="zh-CN"/>
              </w:rPr>
              <w:t>生态康养度假板块，以花果村、皇塘为主导的</w:t>
            </w:r>
            <w:r>
              <w:rPr>
                <w:rFonts w:hint="eastAsia" w:cs="Times New Roman"/>
                <w:b w:val="0"/>
                <w:bCs w:val="0"/>
                <w:color w:val="auto"/>
                <w:sz w:val="24"/>
                <w:szCs w:val="24"/>
                <w:lang w:val="en-US" w:eastAsia="zh-CN"/>
              </w:rPr>
              <w:t>“</w:t>
            </w:r>
            <w:r>
              <w:rPr>
                <w:rFonts w:hint="default" w:ascii="Times New Roman" w:hAnsi="Times New Roman" w:eastAsia="仿宋_GB2312" w:cs="Times New Roman"/>
                <w:b w:val="0"/>
                <w:bCs w:val="0"/>
                <w:color w:val="auto"/>
                <w:sz w:val="24"/>
                <w:szCs w:val="24"/>
                <w:lang w:val="en-US" w:eastAsia="zh-CN"/>
              </w:rPr>
              <w:t>彩田城下</w:t>
            </w:r>
            <w:r>
              <w:rPr>
                <w:rFonts w:hint="eastAsia" w:cs="Times New Roman"/>
                <w:b w:val="0"/>
                <w:bCs w:val="0"/>
                <w:color w:val="auto"/>
                <w:sz w:val="24"/>
                <w:szCs w:val="24"/>
                <w:lang w:val="en-US" w:eastAsia="zh-CN"/>
              </w:rPr>
              <w:t>”</w:t>
            </w:r>
            <w:r>
              <w:rPr>
                <w:rFonts w:hint="default" w:ascii="Times New Roman" w:hAnsi="Times New Roman" w:eastAsia="仿宋_GB2312" w:cs="Times New Roman"/>
                <w:b w:val="0"/>
                <w:bCs w:val="0"/>
                <w:color w:val="auto"/>
                <w:sz w:val="24"/>
                <w:szCs w:val="24"/>
                <w:lang w:val="en-US" w:eastAsia="zh-CN"/>
              </w:rPr>
              <w:t>农旅融合休闲板块</w:t>
            </w:r>
            <w:r>
              <w:rPr>
                <w:rFonts w:hint="default" w:ascii="Times New Roman" w:hAnsi="Times New Roman" w:eastAsia="仿宋_GB2312" w:cs="Times New Roman"/>
                <w:b w:val="0"/>
                <w:bCs w:val="0"/>
                <w:color w:val="auto"/>
                <w:sz w:val="24"/>
                <w:szCs w:val="24"/>
                <w:lang w:eastAsia="zh-CN"/>
              </w:rPr>
              <w:t>。</w:t>
            </w:r>
          </w:p>
        </w:tc>
      </w:tr>
    </w:tbl>
    <w:p w14:paraId="3F2E6B4E">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打造精品景区景点。</w:t>
      </w:r>
      <w:r>
        <w:rPr>
          <w:rFonts w:hint="default" w:ascii="Times New Roman" w:hAnsi="Times New Roman" w:cs="Times New Roman"/>
          <w:color w:val="auto"/>
          <w:kern w:val="0"/>
          <w:szCs w:val="32"/>
          <w:lang w:val="en-US" w:eastAsia="zh-CN"/>
        </w:rPr>
        <w:t>巩固石门栈道、兴汉胜境4A级景区品质，积极推动5A级景区创建。推进汉中天台国家森林公园连片开发与4A级景区创建，打响叫亮</w:t>
      </w:r>
      <w:r>
        <w:rPr>
          <w:rFonts w:hint="eastAsia" w:cs="Times New Roman"/>
          <w:color w:val="auto"/>
          <w:kern w:val="0"/>
          <w:szCs w:val="32"/>
          <w:lang w:val="en-US" w:eastAsia="zh-CN"/>
        </w:rPr>
        <w:t>“</w:t>
      </w:r>
      <w:r>
        <w:rPr>
          <w:rFonts w:hint="default" w:ascii="Times New Roman" w:hAnsi="Times New Roman" w:cs="Times New Roman"/>
          <w:color w:val="auto"/>
          <w:kern w:val="0"/>
          <w:szCs w:val="32"/>
          <w:lang w:val="en-US" w:eastAsia="zh-CN"/>
        </w:rPr>
        <w:t>陕南第一名山</w:t>
      </w:r>
      <w:r>
        <w:rPr>
          <w:rFonts w:hint="eastAsia" w:cs="Times New Roman"/>
          <w:color w:val="auto"/>
          <w:kern w:val="0"/>
          <w:szCs w:val="32"/>
          <w:lang w:val="en-US" w:eastAsia="zh-CN"/>
        </w:rPr>
        <w:t>”</w:t>
      </w:r>
      <w:r>
        <w:rPr>
          <w:rFonts w:hint="default" w:ascii="Times New Roman" w:hAnsi="Times New Roman" w:cs="Times New Roman"/>
          <w:color w:val="auto"/>
          <w:kern w:val="0"/>
          <w:szCs w:val="32"/>
          <w:lang w:val="en-US" w:eastAsia="zh-CN"/>
        </w:rPr>
        <w:t>品牌。推动皇塘、黄花河等景区3A级创建，加快古褒国旅游度假区建设。</w:t>
      </w:r>
      <w:r>
        <w:rPr>
          <w:rFonts w:hint="default" w:ascii="Times New Roman" w:hAnsi="Times New Roman" w:cs="Times New Roman"/>
          <w:color w:val="auto"/>
          <w:kern w:val="0"/>
          <w:szCs w:val="32"/>
        </w:rPr>
        <w:t>深入挖掘两汉三国人文旅游资源，加强对古汉台、拜将坛、饮马池等核心遗址的科学保护与阐释展示，促进文物保护、文化传承与旅游发展的深度融合，实现历史文化遗产在有效保护基础上的合理利用与活态传承。</w:t>
      </w:r>
      <w:r>
        <w:rPr>
          <w:rFonts w:hint="default" w:ascii="Times New Roman" w:hAnsi="Times New Roman" w:eastAsia="仿宋_GB2312" w:cs="Times New Roman"/>
          <w:color w:val="auto"/>
          <w:kern w:val="0"/>
          <w:szCs w:val="32"/>
        </w:rPr>
        <w:t>打造汉台区域内秦岭山地康养度假游线路、汉江滨水风情游线路、汉台历史文化体验游线路、汉台文化研学游线路、大美汉台乡村游线路、油菜花海休闲游线路、醉美汉台自驾游线路</w:t>
      </w:r>
      <w:r>
        <w:rPr>
          <w:rFonts w:hint="default" w:ascii="Times New Roman" w:hAnsi="Times New Roman" w:eastAsia="仿宋_GB2312" w:cs="Times New Roman"/>
          <w:color w:val="auto"/>
          <w:kern w:val="0"/>
          <w:szCs w:val="32"/>
          <w:lang w:eastAsia="zh-CN"/>
        </w:rPr>
        <w:t>、</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汉台</w:t>
      </w:r>
      <w:r>
        <w:rPr>
          <w:rFonts w:hint="eastAsia" w:ascii="Times New Roman" w:hAnsi="Times New Roman"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兴汉</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研学旅居、</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汉台</w:t>
      </w:r>
      <w:r>
        <w:rPr>
          <w:rFonts w:hint="eastAsia" w:ascii="Times New Roman" w:hAnsi="Times New Roman"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滨江</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户外宿营</w:t>
      </w:r>
      <w:r>
        <w:rPr>
          <w:rFonts w:hint="default" w:ascii="Times New Roman" w:hAnsi="Times New Roman" w:cs="Times New Roman"/>
          <w:color w:val="auto"/>
          <w:kern w:val="0"/>
          <w:szCs w:val="32"/>
          <w:lang w:val="en-US" w:eastAsia="zh-CN"/>
        </w:rPr>
        <w:t>、</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褒河</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天台</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生态观光</w:t>
      </w:r>
      <w:r>
        <w:rPr>
          <w:rFonts w:hint="default" w:ascii="Times New Roman" w:hAnsi="Times New Roman" w:cs="Times New Roman"/>
          <w:color w:val="auto"/>
          <w:kern w:val="0"/>
          <w:szCs w:val="32"/>
          <w:lang w:val="en-US" w:eastAsia="zh-CN"/>
        </w:rPr>
        <w:t>10条</w:t>
      </w:r>
      <w:r>
        <w:rPr>
          <w:rFonts w:hint="default" w:ascii="Times New Roman" w:hAnsi="Times New Roman" w:eastAsia="仿宋_GB2312" w:cs="Times New Roman"/>
          <w:color w:val="auto"/>
          <w:kern w:val="0"/>
          <w:szCs w:val="32"/>
        </w:rPr>
        <w:t>精品旅游线路</w:t>
      </w:r>
      <w:r>
        <w:rPr>
          <w:rFonts w:hint="default" w:ascii="Times New Roman" w:hAnsi="Times New Roman" w:eastAsia="仿宋_GB2312" w:cs="Times New Roman"/>
          <w:color w:val="auto"/>
          <w:kern w:val="0"/>
          <w:szCs w:val="32"/>
          <w:lang w:eastAsia="zh-CN"/>
        </w:rPr>
        <w:t>，</w:t>
      </w:r>
      <w:r>
        <w:rPr>
          <w:rFonts w:hint="default" w:ascii="Times New Roman" w:hAnsi="Times New Roman" w:eastAsia="仿宋_GB2312" w:cs="Times New Roman"/>
          <w:color w:val="auto"/>
          <w:kern w:val="0"/>
          <w:szCs w:val="32"/>
          <w:lang w:val="en-US" w:eastAsia="zh-CN"/>
        </w:rPr>
        <w:t>谋划</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陕南革命旧址</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红色旅游和环北部交通旅游线路</w:t>
      </w:r>
      <w:r>
        <w:rPr>
          <w:rFonts w:hint="default" w:ascii="Times New Roman" w:hAnsi="Times New Roman" w:cs="Times New Roman"/>
          <w:color w:val="auto"/>
          <w:kern w:val="0"/>
          <w:szCs w:val="32"/>
          <w:lang w:val="en-US" w:eastAsia="zh-CN"/>
        </w:rPr>
        <w:t>。</w:t>
      </w:r>
    </w:p>
    <w:p w14:paraId="37896980">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培育多元旅游产品。</w:t>
      </w:r>
      <w:r>
        <w:rPr>
          <w:rFonts w:hint="default" w:ascii="Times New Roman" w:hAnsi="Times New Roman" w:eastAsia="仿宋_GB2312" w:cs="Times New Roman"/>
          <w:color w:val="auto"/>
          <w:sz w:val="32"/>
          <w:szCs w:val="32"/>
          <w:lang w:val="en-US" w:eastAsia="zh-CN"/>
        </w:rPr>
        <w:t>促进</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旅游+</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业态创新发展，全业态延伸旅游产业链。</w:t>
      </w:r>
      <w:r>
        <w:rPr>
          <w:rFonts w:hint="default" w:ascii="Times New Roman" w:hAnsi="Times New Roman" w:cs="Times New Roman"/>
          <w:b/>
          <w:bCs/>
          <w:color w:val="auto"/>
          <w:sz w:val="32"/>
          <w:szCs w:val="32"/>
          <w:lang w:val="en-US" w:eastAsia="zh-CN"/>
        </w:rPr>
        <w:t>推动文化旅游融合。</w:t>
      </w:r>
      <w:r>
        <w:rPr>
          <w:rFonts w:hint="default" w:ascii="Times New Roman" w:hAnsi="Times New Roman" w:eastAsia="仿宋_GB2312" w:cs="Times New Roman"/>
          <w:color w:val="auto"/>
          <w:sz w:val="32"/>
          <w:szCs w:val="32"/>
        </w:rPr>
        <w:t>开发龙江龙舞</w:t>
      </w:r>
      <w:r>
        <w:rPr>
          <w:rFonts w:hint="default" w:ascii="Times New Roman" w:hAnsi="Times New Roman" w:cs="Times New Roman"/>
          <w:color w:val="auto"/>
          <w:sz w:val="32"/>
          <w:szCs w:val="32"/>
          <w:lang w:eastAsia="zh-CN"/>
        </w:rPr>
        <w:t>、</w:t>
      </w:r>
      <w:r>
        <w:rPr>
          <w:rFonts w:hint="default" w:ascii="Times New Roman" w:hAnsi="Times New Roman" w:eastAsia="仿宋_GB2312" w:cs="Times New Roman"/>
          <w:color w:val="auto"/>
          <w:sz w:val="32"/>
          <w:szCs w:val="32"/>
        </w:rPr>
        <w:t>宗营社火等文创产品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策划包装文化演艺、文创产品、旅游商品、节事活动等旅游产品，发展遗址博览、文创体验、</w:t>
      </w:r>
      <w:r>
        <w:rPr>
          <w:rFonts w:hint="default" w:ascii="Times New Roman" w:hAnsi="Times New Roman" w:eastAsia="仿宋_GB2312" w:cs="Times New Roman"/>
          <w:color w:val="auto"/>
          <w:sz w:val="32"/>
          <w:szCs w:val="32"/>
          <w:lang w:val="en-US" w:eastAsia="zh-CN"/>
        </w:rPr>
        <w:t>沉浸式演艺、非遗技艺展演、文化演出、</w:t>
      </w:r>
      <w:r>
        <w:rPr>
          <w:rFonts w:hint="default" w:ascii="Times New Roman" w:hAnsi="Times New Roman" w:eastAsia="仿宋_GB2312" w:cs="Times New Roman"/>
          <w:color w:val="auto"/>
          <w:sz w:val="32"/>
          <w:szCs w:val="32"/>
        </w:rPr>
        <w:t>休闲娱乐等文化体验旅游</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丰富</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音乐+旅游</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演出+旅游</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等业态。</w:t>
      </w:r>
      <w:r>
        <w:rPr>
          <w:rFonts w:hint="default" w:ascii="Times New Roman" w:hAnsi="Times New Roman" w:eastAsia="仿宋_GB2312" w:cs="Times New Roman"/>
          <w:b/>
          <w:bCs/>
          <w:color w:val="auto"/>
          <w:sz w:val="32"/>
          <w:szCs w:val="32"/>
          <w:lang w:val="en-US" w:eastAsia="zh-CN"/>
        </w:rPr>
        <w:t>推进商旅融合。</w:t>
      </w:r>
      <w:r>
        <w:rPr>
          <w:rFonts w:hint="default" w:ascii="Times New Roman" w:hAnsi="Times New Roman" w:eastAsia="仿宋_GB2312" w:cs="Times New Roman"/>
          <w:color w:val="auto"/>
          <w:sz w:val="32"/>
          <w:szCs w:val="32"/>
          <w:lang w:val="en-US" w:eastAsia="zh-CN"/>
        </w:rPr>
        <w:t>加快建设爱转角、西郊记忆等特色街区，推进建设</w:t>
      </w:r>
      <w:r>
        <w:rPr>
          <w:rFonts w:hint="default" w:ascii="Times New Roman" w:hAnsi="Times New Roman" w:eastAsia="仿宋_GB2312" w:cs="Times New Roman"/>
          <w:color w:val="auto"/>
          <w:sz w:val="32"/>
          <w:szCs w:val="32"/>
        </w:rPr>
        <w:t>汉江湿地公园、吾悦广场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汉人老街</w:t>
      </w:r>
      <w:r>
        <w:rPr>
          <w:rFonts w:hint="default" w:ascii="Times New Roman" w:hAnsi="Times New Roman" w:eastAsia="仿宋_GB2312" w:cs="Times New Roman"/>
          <w:color w:val="auto"/>
          <w:sz w:val="32"/>
          <w:szCs w:val="32"/>
          <w:lang w:val="en-US" w:eastAsia="zh-CN"/>
        </w:rPr>
        <w:t>等新型消费聚集区，完善商业配套，开发</w:t>
      </w:r>
      <w:r>
        <w:rPr>
          <w:rFonts w:hint="eastAsia" w:cs="Times New Roman"/>
          <w:color w:val="auto"/>
          <w:sz w:val="32"/>
          <w:szCs w:val="32"/>
          <w:lang w:eastAsia="zh-CN"/>
        </w:rPr>
        <w:t>“</w:t>
      </w:r>
      <w:r>
        <w:rPr>
          <w:rFonts w:hint="default" w:ascii="Times New Roman" w:hAnsi="Times New Roman" w:eastAsia="仿宋_GB2312" w:cs="Times New Roman"/>
          <w:color w:val="auto"/>
          <w:sz w:val="32"/>
          <w:szCs w:val="32"/>
        </w:rPr>
        <w:t>夜品、夜宿、夜游、夜行、夜娱、夜购</w:t>
      </w:r>
      <w:r>
        <w:rPr>
          <w:rFonts w:hint="eastAsia"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等夜间经济产品，打造沉浸式、互动式商旅融合特色街区。</w:t>
      </w:r>
      <w:r>
        <w:rPr>
          <w:rFonts w:hint="default" w:ascii="Times New Roman" w:hAnsi="Times New Roman" w:eastAsia="仿宋_GB2312" w:cs="Times New Roman"/>
          <w:b/>
          <w:bCs/>
          <w:color w:val="auto"/>
          <w:sz w:val="32"/>
          <w:szCs w:val="32"/>
          <w:lang w:val="en-US" w:eastAsia="zh-CN"/>
        </w:rPr>
        <w:t>推进农旅融合。</w:t>
      </w:r>
      <w:r>
        <w:rPr>
          <w:rFonts w:hint="default" w:ascii="Times New Roman" w:hAnsi="Times New Roman" w:eastAsia="仿宋_GB2312" w:cs="Times New Roman"/>
          <w:color w:val="auto"/>
          <w:sz w:val="32"/>
          <w:szCs w:val="32"/>
          <w:lang w:val="en-US" w:eastAsia="zh-CN"/>
        </w:rPr>
        <w:t>实施乡村旅游提升行动，</w:t>
      </w:r>
      <w:r>
        <w:rPr>
          <w:rFonts w:hint="default" w:ascii="Times New Roman" w:hAnsi="Times New Roman" w:eastAsia="仿宋_GB2312" w:cs="Times New Roman"/>
          <w:color w:val="auto"/>
          <w:sz w:val="32"/>
          <w:szCs w:val="32"/>
        </w:rPr>
        <w:t>发展休闲农业、创意农业、定制农业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开发</w:t>
      </w:r>
      <w:r>
        <w:rPr>
          <w:rFonts w:hint="default" w:ascii="Times New Roman" w:hAnsi="Times New Roman" w:eastAsia="仿宋_GB2312" w:cs="Times New Roman"/>
          <w:color w:val="auto"/>
          <w:sz w:val="32"/>
          <w:szCs w:val="32"/>
        </w:rPr>
        <w:t>花海观光、果园采摘、农业休闲等乡村旅游产品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打造一批高品质精品民宿，建设一批主题鲜明的文旅名镇。</w:t>
      </w:r>
      <w:r>
        <w:rPr>
          <w:rFonts w:hint="default" w:ascii="Times New Roman" w:hAnsi="Times New Roman" w:cs="Times New Roman"/>
          <w:b/>
          <w:bCs/>
          <w:color w:val="auto"/>
          <w:sz w:val="32"/>
          <w:szCs w:val="32"/>
          <w:lang w:val="en-US" w:eastAsia="zh-CN"/>
        </w:rPr>
        <w:t>促进</w:t>
      </w:r>
      <w:r>
        <w:rPr>
          <w:rFonts w:hint="eastAsia"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文旅+康养</w:t>
      </w:r>
      <w:r>
        <w:rPr>
          <w:rFonts w:hint="eastAsia" w:cs="Times New Roman"/>
          <w:b/>
          <w:bCs/>
          <w:color w:val="auto"/>
          <w:sz w:val="32"/>
          <w:szCs w:val="32"/>
          <w:lang w:val="en-US" w:eastAsia="zh-CN"/>
        </w:rPr>
        <w:t>”</w:t>
      </w:r>
      <w:r>
        <w:rPr>
          <w:rFonts w:hint="default" w:ascii="Times New Roman" w:hAnsi="Times New Roman" w:cs="Times New Roman"/>
          <w:b/>
          <w:bCs/>
          <w:color w:val="auto"/>
          <w:sz w:val="32"/>
          <w:szCs w:val="32"/>
          <w:lang w:val="en-US" w:eastAsia="zh-CN"/>
        </w:rPr>
        <w:t>融合</w:t>
      </w:r>
      <w:r>
        <w:rPr>
          <w:rFonts w:hint="default"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color w:val="auto"/>
          <w:sz w:val="32"/>
          <w:szCs w:val="32"/>
          <w:lang w:val="en-US" w:eastAsia="zh-CN"/>
        </w:rPr>
        <w:t>开发森林观光休闲、森林康养度假、滨水休闲体验等深度体验产品，打造一批特色康养民宿等新型业态。</w:t>
      </w:r>
      <w:r>
        <w:rPr>
          <w:rFonts w:hint="default" w:ascii="Times New Roman" w:hAnsi="Times New Roman" w:cs="Times New Roman"/>
          <w:b/>
          <w:bCs/>
          <w:color w:val="auto"/>
          <w:sz w:val="32"/>
          <w:szCs w:val="32"/>
          <w:lang w:val="en-US" w:eastAsia="zh-CN"/>
        </w:rPr>
        <w:t>促进</w:t>
      </w:r>
      <w:r>
        <w:rPr>
          <w:rFonts w:hint="eastAsia"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文旅+工业</w:t>
      </w:r>
      <w:r>
        <w:rPr>
          <w:rFonts w:hint="eastAsia" w:cs="Times New Roman"/>
          <w:b/>
          <w:bCs/>
          <w:color w:val="auto"/>
          <w:sz w:val="32"/>
          <w:szCs w:val="32"/>
          <w:lang w:val="en-US" w:eastAsia="zh-CN"/>
        </w:rPr>
        <w:t>”</w:t>
      </w:r>
      <w:r>
        <w:rPr>
          <w:rFonts w:hint="default" w:ascii="Times New Roman" w:hAnsi="Times New Roman" w:cs="Times New Roman"/>
          <w:b/>
          <w:bCs/>
          <w:color w:val="auto"/>
          <w:sz w:val="32"/>
          <w:szCs w:val="32"/>
          <w:lang w:val="en-US" w:eastAsia="zh-CN"/>
        </w:rPr>
        <w:t>融合</w:t>
      </w:r>
      <w:r>
        <w:rPr>
          <w:rFonts w:hint="default"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color w:val="auto"/>
          <w:sz w:val="32"/>
          <w:szCs w:val="32"/>
          <w:lang w:val="en-US" w:eastAsia="zh-CN"/>
        </w:rPr>
        <w:t>深入挖掘三线工业遗存、工业历史文化等资源，开发具有历史记忆、文化体验、科普教育等功能的工业旅游项目，</w:t>
      </w:r>
      <w:r>
        <w:rPr>
          <w:rFonts w:hint="default" w:ascii="Times New Roman" w:hAnsi="Times New Roman" w:cs="Times New Roman"/>
          <w:color w:val="auto"/>
          <w:sz w:val="32"/>
          <w:szCs w:val="32"/>
          <w:lang w:val="en-US" w:eastAsia="zh-CN"/>
        </w:rPr>
        <w:t>积极建设</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三线</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记忆工业产业展示区</w:t>
      </w:r>
      <w:r>
        <w:rPr>
          <w:rFonts w:hint="default" w:ascii="Times New Roman" w:hAnsi="Times New Roman"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支持汉中老机场打造文化创意产业聚集区。</w:t>
      </w:r>
      <w:r>
        <w:rPr>
          <w:rFonts w:hint="default" w:ascii="Times New Roman" w:hAnsi="Times New Roman" w:cs="Times New Roman"/>
          <w:b/>
          <w:bCs/>
          <w:color w:val="auto"/>
          <w:sz w:val="32"/>
          <w:szCs w:val="32"/>
          <w:lang w:val="en-US" w:eastAsia="zh-CN"/>
        </w:rPr>
        <w:t>促进</w:t>
      </w:r>
      <w:r>
        <w:rPr>
          <w:rFonts w:hint="eastAsia"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文旅+体育</w:t>
      </w:r>
      <w:r>
        <w:rPr>
          <w:rFonts w:hint="eastAsia" w:cs="Times New Roman"/>
          <w:b/>
          <w:bCs/>
          <w:color w:val="auto"/>
          <w:sz w:val="32"/>
          <w:szCs w:val="32"/>
          <w:lang w:val="en-US" w:eastAsia="zh-CN"/>
        </w:rPr>
        <w:t>”</w:t>
      </w:r>
      <w:r>
        <w:rPr>
          <w:rFonts w:hint="default" w:ascii="Times New Roman" w:hAnsi="Times New Roman" w:cs="Times New Roman"/>
          <w:b/>
          <w:bCs/>
          <w:color w:val="auto"/>
          <w:sz w:val="32"/>
          <w:szCs w:val="32"/>
          <w:lang w:val="en-US" w:eastAsia="zh-CN"/>
        </w:rPr>
        <w:t>融合</w:t>
      </w:r>
      <w:r>
        <w:rPr>
          <w:rFonts w:hint="default"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color w:val="auto"/>
          <w:sz w:val="32"/>
          <w:szCs w:val="32"/>
          <w:lang w:val="en-US" w:eastAsia="zh-CN"/>
        </w:rPr>
        <w:t>大力发展户外运动、水上赛事，建设皇塘花海精品旅游线路体育示范点，持续办好花海马拉松、山地自行车赛等精品赛事，营造</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跟着赛事去旅行</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的浓厚氛围。</w:t>
      </w:r>
      <w:r>
        <w:rPr>
          <w:rFonts w:hint="default" w:ascii="Times New Roman" w:hAnsi="Times New Roman" w:cs="Times New Roman"/>
          <w:b/>
          <w:bCs/>
          <w:color w:val="auto"/>
          <w:sz w:val="32"/>
          <w:szCs w:val="32"/>
          <w:lang w:val="en-US" w:eastAsia="zh-CN"/>
        </w:rPr>
        <w:t>促进</w:t>
      </w:r>
      <w:r>
        <w:rPr>
          <w:rFonts w:hint="eastAsia"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文旅+研学</w:t>
      </w:r>
      <w:r>
        <w:rPr>
          <w:rFonts w:hint="eastAsia" w:cs="Times New Roman"/>
          <w:b/>
          <w:bCs/>
          <w:color w:val="auto"/>
          <w:sz w:val="32"/>
          <w:szCs w:val="32"/>
          <w:lang w:val="en-US" w:eastAsia="zh-CN"/>
        </w:rPr>
        <w:t>”</w:t>
      </w:r>
      <w:r>
        <w:rPr>
          <w:rFonts w:hint="default" w:ascii="Times New Roman" w:hAnsi="Times New Roman" w:cs="Times New Roman"/>
          <w:b/>
          <w:bCs/>
          <w:color w:val="auto"/>
          <w:sz w:val="32"/>
          <w:szCs w:val="32"/>
          <w:lang w:val="en-US" w:eastAsia="zh-CN"/>
        </w:rPr>
        <w:t>融合</w:t>
      </w:r>
      <w:r>
        <w:rPr>
          <w:rFonts w:hint="default"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color w:val="auto"/>
          <w:sz w:val="32"/>
          <w:szCs w:val="32"/>
          <w:lang w:val="en-US" w:eastAsia="zh-CN"/>
        </w:rPr>
        <w:t>推出文明探源、文化寻根、自然教育、非遗传承、</w:t>
      </w:r>
      <w:r>
        <w:rPr>
          <w:rFonts w:hint="default" w:ascii="Times New Roman" w:hAnsi="Times New Roman" w:cs="Times New Roman"/>
          <w:color w:val="auto"/>
          <w:sz w:val="32"/>
          <w:szCs w:val="32"/>
          <w:lang w:val="en-US" w:eastAsia="zh-CN"/>
        </w:rPr>
        <w:t>民俗</w:t>
      </w:r>
      <w:r>
        <w:rPr>
          <w:rFonts w:hint="default" w:ascii="Times New Roman" w:hAnsi="Times New Roman" w:eastAsia="仿宋_GB2312" w:cs="Times New Roman"/>
          <w:color w:val="auto"/>
          <w:sz w:val="32"/>
          <w:szCs w:val="32"/>
          <w:lang w:val="en-US" w:eastAsia="zh-CN"/>
        </w:rPr>
        <w:t>体验、红色教育等经典研学项目，常态化开展穿汉服、写汉字、学汉礼等沉浸式体验活动，建设集观光、休闲、娱乐、度假、科普、研学等功能于一体的研学实践教育基地。</w:t>
      </w:r>
    </w:p>
    <w:p w14:paraId="4707C293">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强化集散枢纽功能。</w:t>
      </w:r>
      <w:r>
        <w:rPr>
          <w:rFonts w:hint="default" w:ascii="Times New Roman" w:hAnsi="Times New Roman" w:eastAsia="仿宋_GB2312" w:cs="Times New Roman"/>
          <w:color w:val="auto"/>
          <w:sz w:val="32"/>
          <w:szCs w:val="32"/>
          <w:lang w:val="en-US" w:eastAsia="zh-CN"/>
        </w:rPr>
        <w:t>立足建设全市文旅集散区目标，构建以汉台为中心的</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游客首达、服务集成</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发展格局。加快完善区域旅游交通网络，优化连通市内各景区及周边区县的旅游专线公交与客运班次。建设汉台旅游集散中心，完善景区停车场、游客接待中心等设施，提升智慧旅游基础设施建设水平，规范统一旅游厕所、垃圾分类收集设施和全域导览标识系统。健全多元住宿体系，建设以星级酒店为引领、主题酒店和特色民宿为特色、自驾营地为补充的多元化住宿体系。加强旅游市场监管与诚信体系建设，完善旅游咨询、投诉、应急处置、紧急救援、旅游保险等旅游公共服务体系。</w:t>
      </w:r>
    </w:p>
    <w:p w14:paraId="4DD033BD">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kern w:val="0"/>
          <w:szCs w:val="32"/>
          <w:lang w:val="en-US" w:eastAsia="zh-CN"/>
        </w:rPr>
      </w:pPr>
      <w:r>
        <w:rPr>
          <w:rFonts w:hint="default" w:ascii="Times New Roman" w:hAnsi="Times New Roman" w:eastAsia="楷体_GB2312" w:cs="Times New Roman"/>
          <w:b w:val="0"/>
          <w:bCs w:val="0"/>
          <w:color w:val="auto"/>
          <w:sz w:val="32"/>
          <w:szCs w:val="32"/>
          <w:lang w:val="en-US" w:eastAsia="zh-CN"/>
        </w:rPr>
        <w:t>积极推广旅游品牌。</w:t>
      </w:r>
      <w:r>
        <w:rPr>
          <w:rFonts w:hint="default" w:ascii="Times New Roman" w:hAnsi="Times New Roman" w:eastAsia="仿宋_GB2312" w:cs="Times New Roman"/>
          <w:color w:val="auto"/>
          <w:kern w:val="0"/>
          <w:szCs w:val="32"/>
        </w:rPr>
        <w:t>大力宣传</w:t>
      </w:r>
      <w:r>
        <w:rPr>
          <w:rFonts w:hint="eastAsia" w:cs="Times New Roman"/>
          <w:color w:val="auto"/>
          <w:kern w:val="0"/>
          <w:szCs w:val="32"/>
          <w:lang w:eastAsia="zh-CN"/>
        </w:rPr>
        <w:t>“</w:t>
      </w:r>
      <w:r>
        <w:rPr>
          <w:rFonts w:hint="default" w:ascii="Times New Roman" w:hAnsi="Times New Roman" w:eastAsia="仿宋_GB2312" w:cs="Times New Roman"/>
          <w:color w:val="auto"/>
          <w:kern w:val="0"/>
          <w:szCs w:val="32"/>
          <w:lang w:eastAsia="zh-CN"/>
        </w:rPr>
        <w:t>汉家发祥地·秦巴古汉台</w:t>
      </w:r>
      <w:r>
        <w:rPr>
          <w:rFonts w:hint="eastAsia" w:cs="Times New Roman"/>
          <w:color w:val="auto"/>
          <w:kern w:val="0"/>
          <w:szCs w:val="32"/>
          <w:lang w:eastAsia="zh-CN"/>
        </w:rPr>
        <w:t>”</w:t>
      </w:r>
      <w:r>
        <w:rPr>
          <w:rFonts w:hint="default" w:ascii="Times New Roman" w:hAnsi="Times New Roman" w:eastAsia="仿宋_GB2312" w:cs="Times New Roman"/>
          <w:color w:val="auto"/>
          <w:kern w:val="0"/>
          <w:szCs w:val="32"/>
        </w:rPr>
        <w:t>旅游形象</w:t>
      </w:r>
      <w:r>
        <w:rPr>
          <w:rFonts w:hint="default" w:ascii="Times New Roman" w:hAnsi="Times New Roman" w:cs="Times New Roman"/>
          <w:color w:val="auto"/>
          <w:kern w:val="0"/>
          <w:szCs w:val="32"/>
          <w:lang w:eastAsia="zh-CN"/>
        </w:rPr>
        <w:t>。</w:t>
      </w:r>
      <w:r>
        <w:rPr>
          <w:rFonts w:hint="default" w:ascii="Times New Roman" w:hAnsi="Times New Roman" w:eastAsia="仿宋_GB2312" w:cs="Times New Roman"/>
          <w:color w:val="auto"/>
          <w:kern w:val="0"/>
          <w:szCs w:val="32"/>
          <w:rtl w:val="0"/>
          <w:lang w:val="en-US" w:eastAsia="zh-CN"/>
        </w:rPr>
        <w:t>开展精准营销</w:t>
      </w:r>
      <w:r>
        <w:rPr>
          <w:rFonts w:hint="default" w:ascii="Times New Roman" w:hAnsi="Times New Roman" w:cs="Times New Roman"/>
          <w:color w:val="auto"/>
          <w:kern w:val="0"/>
          <w:szCs w:val="32"/>
          <w:rtl w:val="0"/>
          <w:lang w:val="en-US" w:eastAsia="zh-CN"/>
        </w:rPr>
        <w:t>，</w:t>
      </w:r>
      <w:r>
        <w:rPr>
          <w:rFonts w:hint="default" w:ascii="Times New Roman" w:hAnsi="Times New Roman" w:eastAsia="仿宋_GB2312" w:cs="Times New Roman"/>
          <w:color w:val="auto"/>
          <w:kern w:val="0"/>
          <w:szCs w:val="32"/>
          <w:lang w:val="en-US" w:eastAsia="zh-CN"/>
        </w:rPr>
        <w:t>加强文化和概念包装，利用传统媒体与新媒体平台，针对不同用户偏好定制宣传内容，创新举办油菜花节、汉文化旅游节、</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汉风古韵·传奇夜</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等节庆活动，确保月月有活动、季季有亮点</w:t>
      </w:r>
      <w:r>
        <w:rPr>
          <w:rFonts w:hint="default" w:ascii="Times New Roman" w:hAnsi="Times New Roman" w:eastAsia="仿宋_GB2312" w:cs="Times New Roman"/>
          <w:color w:val="auto"/>
          <w:kern w:val="0"/>
          <w:szCs w:val="32"/>
        </w:rPr>
        <w:t>。</w:t>
      </w:r>
      <w:r>
        <w:rPr>
          <w:rFonts w:hint="default" w:ascii="Times New Roman" w:hAnsi="Times New Roman" w:eastAsia="仿宋_GB2312" w:cs="Times New Roman"/>
          <w:color w:val="auto"/>
          <w:kern w:val="0"/>
          <w:szCs w:val="32"/>
          <w:rtl w:val="0"/>
          <w:lang w:val="en-US" w:eastAsia="zh-CN"/>
        </w:rPr>
        <w:t>拓展区域合作</w:t>
      </w:r>
      <w:r>
        <w:rPr>
          <w:rFonts w:hint="default" w:ascii="Times New Roman" w:hAnsi="Times New Roman" w:cs="Times New Roman"/>
          <w:color w:val="auto"/>
          <w:kern w:val="0"/>
          <w:szCs w:val="32"/>
          <w:rtl w:val="0"/>
          <w:lang w:val="en-US" w:eastAsia="zh-CN"/>
        </w:rPr>
        <w:t>，</w:t>
      </w:r>
      <w:r>
        <w:rPr>
          <w:rFonts w:hint="default" w:ascii="Times New Roman" w:hAnsi="Times New Roman" w:eastAsia="仿宋_GB2312" w:cs="Times New Roman"/>
          <w:color w:val="auto"/>
          <w:kern w:val="0"/>
          <w:szCs w:val="32"/>
          <w:lang w:val="en-US" w:eastAsia="zh-CN"/>
        </w:rPr>
        <w:t>主动融入省市旅游线路</w:t>
      </w:r>
      <w:r>
        <w:rPr>
          <w:rFonts w:hint="default" w:ascii="Times New Roman" w:hAnsi="Times New Roman"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与周边区县及西安、</w:t>
      </w:r>
      <w:r>
        <w:rPr>
          <w:rFonts w:hint="default" w:ascii="Times New Roman" w:hAnsi="Times New Roman" w:cs="Times New Roman"/>
          <w:color w:val="auto"/>
          <w:kern w:val="0"/>
          <w:szCs w:val="32"/>
          <w:lang w:val="en-US" w:eastAsia="zh-CN"/>
        </w:rPr>
        <w:t>陇南</w:t>
      </w:r>
      <w:r>
        <w:rPr>
          <w:rFonts w:hint="default" w:ascii="Times New Roman" w:hAnsi="Times New Roman" w:eastAsia="仿宋_GB2312" w:cs="Times New Roman"/>
          <w:color w:val="auto"/>
          <w:kern w:val="0"/>
          <w:szCs w:val="32"/>
          <w:lang w:val="en-US" w:eastAsia="zh-CN"/>
        </w:rPr>
        <w:t>等地建立营销联盟，共推线路，互送客源，实现市场共享、合作共赢。</w:t>
      </w:r>
      <w:r>
        <w:rPr>
          <w:rFonts w:hint="default" w:ascii="Times New Roman" w:hAnsi="Times New Roman" w:eastAsia="仿宋_GB2312" w:cs="Times New Roman"/>
          <w:color w:val="auto"/>
          <w:kern w:val="0"/>
          <w:szCs w:val="32"/>
          <w:rtl w:val="0"/>
          <w:lang w:val="en-US" w:eastAsia="zh-CN"/>
        </w:rPr>
        <w:t>做好活动引流</w:t>
      </w:r>
      <w:r>
        <w:rPr>
          <w:rFonts w:hint="default" w:ascii="Times New Roman" w:hAnsi="Times New Roman" w:cs="Times New Roman"/>
          <w:color w:val="auto"/>
          <w:kern w:val="0"/>
          <w:szCs w:val="32"/>
          <w:lang w:eastAsia="zh-CN"/>
        </w:rPr>
        <w:t>，</w:t>
      </w:r>
      <w:r>
        <w:rPr>
          <w:rFonts w:hint="default" w:ascii="Times New Roman" w:hAnsi="Times New Roman" w:eastAsia="仿宋_GB2312" w:cs="Times New Roman"/>
          <w:color w:val="auto"/>
          <w:kern w:val="0"/>
          <w:szCs w:val="32"/>
          <w:lang w:val="en-US" w:eastAsia="zh-CN"/>
        </w:rPr>
        <w:t>利用节庆、推介会、媒体等途径宣传旅游资源，策划实施</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小而精、能参与</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的系列体验性文旅活动，培育</w:t>
      </w:r>
      <w:r>
        <w:rPr>
          <w:rFonts w:hint="default" w:ascii="Times New Roman" w:hAnsi="Times New Roman" w:cs="Times New Roman"/>
          <w:color w:val="auto"/>
          <w:kern w:val="0"/>
          <w:szCs w:val="32"/>
          <w:lang w:val="en-US" w:eastAsia="zh-CN"/>
        </w:rPr>
        <w:t>提升</w:t>
      </w:r>
      <w:r>
        <w:rPr>
          <w:rFonts w:hint="default" w:ascii="Times New Roman" w:hAnsi="Times New Roman" w:eastAsia="仿宋_GB2312" w:cs="Times New Roman"/>
          <w:color w:val="auto"/>
          <w:kern w:val="0"/>
          <w:szCs w:val="32"/>
        </w:rPr>
        <w:t>兴汉胜境、汉江湿地公园</w:t>
      </w:r>
      <w:r>
        <w:rPr>
          <w:rFonts w:hint="default" w:ascii="Times New Roman" w:hAnsi="Times New Roman" w:eastAsia="仿宋_GB2312" w:cs="Times New Roman"/>
          <w:color w:val="auto"/>
          <w:kern w:val="0"/>
          <w:szCs w:val="32"/>
          <w:lang w:eastAsia="zh-CN"/>
        </w:rPr>
        <w:t>、</w:t>
      </w:r>
      <w:r>
        <w:rPr>
          <w:rFonts w:hint="default" w:ascii="Times New Roman" w:hAnsi="Times New Roman" w:eastAsia="仿宋_GB2312" w:cs="Times New Roman"/>
          <w:color w:val="auto"/>
          <w:kern w:val="0"/>
          <w:szCs w:val="32"/>
        </w:rPr>
        <w:t>丁字街</w:t>
      </w:r>
      <w:r>
        <w:rPr>
          <w:rFonts w:hint="eastAsia" w:cs="Times New Roman"/>
          <w:color w:val="auto"/>
          <w:kern w:val="0"/>
          <w:szCs w:val="32"/>
          <w:lang w:eastAsia="zh-CN"/>
        </w:rPr>
        <w:t>“</w:t>
      </w:r>
      <w:r>
        <w:rPr>
          <w:rFonts w:hint="default" w:ascii="Times New Roman" w:hAnsi="Times New Roman" w:eastAsia="仿宋_GB2312" w:cs="Times New Roman"/>
          <w:color w:val="auto"/>
          <w:kern w:val="0"/>
          <w:szCs w:val="32"/>
        </w:rPr>
        <w:t>最潮老街</w:t>
      </w:r>
      <w:r>
        <w:rPr>
          <w:rFonts w:hint="eastAsia" w:cs="Times New Roman"/>
          <w:color w:val="auto"/>
          <w:kern w:val="0"/>
          <w:szCs w:val="32"/>
          <w:lang w:eastAsia="zh-CN"/>
        </w:rPr>
        <w:t>”</w:t>
      </w:r>
      <w:r>
        <w:rPr>
          <w:rFonts w:hint="default" w:ascii="Times New Roman" w:hAnsi="Times New Roman" w:eastAsia="仿宋_GB2312" w:cs="Times New Roman"/>
          <w:color w:val="auto"/>
          <w:kern w:val="0"/>
          <w:szCs w:val="32"/>
          <w:lang w:eastAsia="zh-CN"/>
        </w:rPr>
        <w:t>、</w:t>
      </w:r>
      <w:r>
        <w:rPr>
          <w:rFonts w:hint="default" w:ascii="Times New Roman" w:hAnsi="Times New Roman" w:cs="Times New Roman"/>
          <w:color w:val="auto"/>
          <w:kern w:val="0"/>
          <w:szCs w:val="32"/>
          <w:lang w:val="en-US" w:eastAsia="zh-CN"/>
        </w:rPr>
        <w:t>莲花池公园、</w:t>
      </w:r>
      <w:r>
        <w:rPr>
          <w:rFonts w:hint="default" w:ascii="Times New Roman" w:hAnsi="Times New Roman" w:eastAsia="仿宋_GB2312" w:cs="Times New Roman"/>
          <w:color w:val="auto"/>
          <w:kern w:val="0"/>
          <w:szCs w:val="32"/>
        </w:rPr>
        <w:t>皇塘景区、花田·云起时露营中心</w:t>
      </w:r>
      <w:r>
        <w:rPr>
          <w:rFonts w:hint="default" w:ascii="Times New Roman" w:hAnsi="Times New Roman" w:eastAsia="仿宋_GB2312" w:cs="Times New Roman"/>
          <w:color w:val="auto"/>
          <w:kern w:val="0"/>
          <w:szCs w:val="32"/>
          <w:lang w:eastAsia="zh-CN"/>
        </w:rPr>
        <w:t>等</w:t>
      </w:r>
      <w:r>
        <w:rPr>
          <w:rFonts w:hint="default" w:ascii="Times New Roman" w:hAnsi="Times New Roman" w:eastAsia="仿宋_GB2312" w:cs="Times New Roman"/>
          <w:color w:val="auto"/>
          <w:kern w:val="0"/>
          <w:szCs w:val="32"/>
        </w:rPr>
        <w:t>网红</w:t>
      </w:r>
      <w:r>
        <w:rPr>
          <w:rFonts w:hint="eastAsia" w:cs="Times New Roman"/>
          <w:color w:val="auto"/>
          <w:kern w:val="0"/>
          <w:szCs w:val="32"/>
          <w:lang w:eastAsia="zh-CN"/>
        </w:rPr>
        <w:t>“</w:t>
      </w:r>
      <w:r>
        <w:rPr>
          <w:rFonts w:hint="default" w:ascii="Times New Roman" w:hAnsi="Times New Roman" w:eastAsia="仿宋_GB2312" w:cs="Times New Roman"/>
          <w:color w:val="auto"/>
          <w:kern w:val="0"/>
          <w:szCs w:val="32"/>
        </w:rPr>
        <w:t>打卡地</w:t>
      </w:r>
      <w:r>
        <w:rPr>
          <w:rFonts w:hint="eastAsia" w:cs="Times New Roman"/>
          <w:color w:val="auto"/>
          <w:kern w:val="0"/>
          <w:szCs w:val="32"/>
          <w:lang w:eastAsia="zh-CN"/>
        </w:rPr>
        <w:t>”</w:t>
      </w:r>
      <w:r>
        <w:rPr>
          <w:rFonts w:hint="default" w:ascii="Times New Roman" w:hAnsi="Times New Roman" w:eastAsia="仿宋_GB2312" w:cs="Times New Roman"/>
          <w:color w:val="auto"/>
          <w:kern w:val="0"/>
          <w:szCs w:val="32"/>
          <w:lang w:eastAsia="zh-CN"/>
        </w:rPr>
        <w:t>，</w:t>
      </w:r>
      <w:r>
        <w:rPr>
          <w:rFonts w:hint="default" w:ascii="Times New Roman" w:hAnsi="Times New Roman" w:eastAsia="仿宋_GB2312" w:cs="Times New Roman"/>
          <w:color w:val="auto"/>
          <w:kern w:val="0"/>
          <w:szCs w:val="32"/>
          <w:lang w:val="en-US" w:eastAsia="zh-CN"/>
        </w:rPr>
        <w:t>丰富游客体验、扩大宣传效应，动态优化</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引客入汉</w:t>
      </w:r>
      <w:r>
        <w:rPr>
          <w:rFonts w:hint="eastAsia" w:cs="Times New Roman"/>
          <w:color w:val="auto"/>
          <w:kern w:val="0"/>
          <w:szCs w:val="32"/>
          <w:lang w:val="en-US" w:eastAsia="zh-CN"/>
        </w:rPr>
        <w:t>”</w:t>
      </w:r>
      <w:r>
        <w:rPr>
          <w:rFonts w:hint="default" w:ascii="Times New Roman" w:hAnsi="Times New Roman" w:eastAsia="仿宋_GB2312" w:cs="Times New Roman"/>
          <w:color w:val="auto"/>
          <w:kern w:val="0"/>
          <w:szCs w:val="32"/>
          <w:lang w:val="en-US" w:eastAsia="zh-CN"/>
        </w:rPr>
        <w:t>激励政策，引导更多旅游企业开拓文旅市场，持续提升汉台文旅吸引力和影响力。</w:t>
      </w:r>
    </w:p>
    <w:tbl>
      <w:tblPr>
        <w:tblStyle w:val="15"/>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0"/>
      </w:tblGrid>
      <w:tr w14:paraId="52E8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820" w:type="dxa"/>
            <w:noWrap w:val="0"/>
            <w:vAlign w:val="center"/>
          </w:tcPr>
          <w:p w14:paraId="61AA61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color w:val="auto"/>
                <w:spacing w:val="0"/>
                <w:kern w:val="2"/>
                <w:sz w:val="32"/>
                <w:szCs w:val="32"/>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专栏2-2  文化旅游业重点工程</w:t>
            </w:r>
          </w:p>
        </w:tc>
      </w:tr>
      <w:tr w14:paraId="67A9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820" w:type="dxa"/>
            <w:noWrap w:val="0"/>
            <w:vAlign w:val="top"/>
          </w:tcPr>
          <w:p w14:paraId="16A0D5E9">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精品景区打造工程。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重点建设西汉三遗址历史文化旅游</w:t>
            </w:r>
            <w:r>
              <w:rPr>
                <w:rFonts w:hint="default" w:ascii="Times New Roman" w:hAnsi="Times New Roman" w:cs="Times New Roman"/>
                <w:b w:val="0"/>
                <w:bCs w:val="0"/>
                <w:color w:val="auto"/>
                <w:spacing w:val="0"/>
                <w:kern w:val="2"/>
                <w:sz w:val="24"/>
                <w:szCs w:val="24"/>
                <w:vertAlign w:val="baseline"/>
                <w:lang w:val="en-US" w:eastAsia="zh-CN" w:bidi="ar-SA"/>
              </w:rPr>
              <w:t>开发、东关历史文化街区改造提升、武乡镇天台山森林公园连片开发、肋巴沟、狮子沟连片开发、黄花河景区提升等项目。</w:t>
            </w:r>
          </w:p>
          <w:p w14:paraId="7FF02450">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旅游产品培育工程。</w:t>
            </w:r>
            <w:r>
              <w:rPr>
                <w:rFonts w:hint="default" w:ascii="Times New Roman" w:hAnsi="Times New Roman" w:cs="Times New Roman"/>
                <w:b w:val="0"/>
                <w:bCs w:val="0"/>
                <w:color w:val="auto"/>
                <w:spacing w:val="0"/>
                <w:kern w:val="2"/>
                <w:sz w:val="24"/>
                <w:szCs w:val="24"/>
                <w:vertAlign w:val="baseline"/>
                <w:lang w:val="en-US" w:eastAsia="zh-CN" w:bidi="ar-SA"/>
              </w:rPr>
              <w:t>重点</w:t>
            </w:r>
            <w:r>
              <w:rPr>
                <w:rFonts w:hint="default" w:ascii="Times New Roman" w:hAnsi="Times New Roman" w:eastAsia="仿宋_GB2312" w:cs="Times New Roman"/>
                <w:b w:val="0"/>
                <w:bCs w:val="0"/>
                <w:color w:val="auto"/>
                <w:spacing w:val="0"/>
                <w:kern w:val="2"/>
                <w:sz w:val="24"/>
                <w:szCs w:val="24"/>
                <w:vertAlign w:val="baseline"/>
                <w:lang w:val="en-US" w:eastAsia="zh-CN" w:bidi="ar-SA"/>
              </w:rPr>
              <w:t>建设陕南中国传统文化融合基地</w:t>
            </w:r>
            <w:r>
              <w:rPr>
                <w:rFonts w:hint="default" w:ascii="Times New Roman" w:hAnsi="Times New Roman" w:cs="Times New Roman"/>
                <w:b w:val="0"/>
                <w:bCs w:val="0"/>
                <w:color w:val="auto"/>
                <w:spacing w:val="0"/>
                <w:kern w:val="2"/>
                <w:sz w:val="24"/>
                <w:szCs w:val="24"/>
                <w:vertAlign w:val="baseline"/>
                <w:lang w:val="en-US" w:eastAsia="zh-CN" w:bidi="ar-SA"/>
              </w:rPr>
              <w:t>、汉文化精品旅游线路、兴汉新区历史沉浸互动演艺、天台山高空富氧运动公园、三线建设遗址公园（宗营镇四厂区域）、汉中市动物园等项目。</w:t>
            </w:r>
          </w:p>
          <w:p w14:paraId="6B5AC1F8">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乡村旅游提档工程。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支持</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汉家乐</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品牌建设</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w:t>
            </w:r>
            <w:r>
              <w:rPr>
                <w:rFonts w:hint="default" w:ascii="Times New Roman" w:hAnsi="Times New Roman" w:cs="Times New Roman"/>
                <w:b w:val="0"/>
                <w:bCs w:val="0"/>
                <w:color w:val="auto"/>
                <w:spacing w:val="0"/>
                <w:kern w:val="2"/>
                <w:sz w:val="24"/>
                <w:szCs w:val="24"/>
                <w:vertAlign w:val="baseline"/>
                <w:lang w:val="en-US" w:eastAsia="zh-CN" w:bidi="ar-SA"/>
              </w:rPr>
              <w:t>宗营镇北部片区文化旅游综合开发、徐望镇徐家湾村荷园文旅融合、铺镇汉水畔运动休闲基地、河东店镇农旅融合产业示范区、鑫源街道千户竹海农文旅融合、汉中华都农旅融合特色体验区、汉台区农旅融合等项目。</w:t>
            </w:r>
          </w:p>
          <w:p w14:paraId="1127F58E">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集散枢纽功能建设</w:t>
            </w:r>
            <w:r>
              <w:rPr>
                <w:rFonts w:hint="default" w:ascii="Times New Roman" w:hAnsi="Times New Roman" w:eastAsia="仿宋_GB2312" w:cs="Times New Roman"/>
                <w:b/>
                <w:bCs/>
                <w:color w:val="auto"/>
                <w:spacing w:val="0"/>
                <w:kern w:val="2"/>
                <w:sz w:val="24"/>
                <w:szCs w:val="24"/>
                <w:vertAlign w:val="baseline"/>
                <w:lang w:val="en-US" w:eastAsia="zh-CN" w:bidi="ar-SA"/>
              </w:rPr>
              <w:t>工程。</w:t>
            </w:r>
            <w:r>
              <w:rPr>
                <w:rFonts w:hint="default" w:ascii="Times New Roman" w:hAnsi="Times New Roman" w:cs="Times New Roman"/>
                <w:b w:val="0"/>
                <w:bCs w:val="0"/>
                <w:color w:val="auto"/>
                <w:spacing w:val="0"/>
                <w:kern w:val="2"/>
                <w:sz w:val="24"/>
                <w:szCs w:val="24"/>
                <w:vertAlign w:val="baseline"/>
                <w:lang w:val="en-US" w:eastAsia="zh-CN" w:bidi="ar-SA"/>
              </w:rPr>
              <w:t>重点建设天台山游客集散中心、西汉三遗址旅游集散中心、莲花池片区游客集散中心、河东店镇旅游集散中心、武乡镇全域旅游接待能力提升等项目</w:t>
            </w:r>
            <w:r>
              <w:rPr>
                <w:rFonts w:hint="default" w:ascii="Times New Roman" w:hAnsi="Times New Roman" w:eastAsia="仿宋_GB2312" w:cs="Times New Roman"/>
                <w:b w:val="0"/>
                <w:bCs w:val="0"/>
                <w:color w:val="auto"/>
                <w:spacing w:val="0"/>
                <w:kern w:val="2"/>
                <w:sz w:val="24"/>
                <w:szCs w:val="24"/>
                <w:vertAlign w:val="baseline"/>
                <w:lang w:val="en-US" w:eastAsia="zh-CN" w:bidi="ar-SA"/>
              </w:rPr>
              <w:t>。</w:t>
            </w:r>
          </w:p>
        </w:tc>
      </w:tr>
    </w:tbl>
    <w:p w14:paraId="6C724CD1">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52" w:name="_Toc27650"/>
      <w:bookmarkStart w:id="53" w:name="_Toc22179"/>
      <w:r>
        <w:rPr>
          <w:rFonts w:hint="default" w:ascii="Times New Roman" w:hAnsi="Times New Roman" w:eastAsia="黑体" w:cs="Times New Roman"/>
          <w:b w:val="0"/>
          <w:bCs/>
          <w:color w:val="auto"/>
          <w:sz w:val="32"/>
          <w:szCs w:val="32"/>
          <w:lang w:val="en-US" w:eastAsia="zh-CN"/>
        </w:rPr>
        <w:t>二、提质增效</w:t>
      </w:r>
      <w:bookmarkEnd w:id="52"/>
      <w:r>
        <w:rPr>
          <w:rFonts w:hint="default" w:ascii="Times New Roman" w:hAnsi="Times New Roman" w:eastAsia="黑体" w:cs="Times New Roman"/>
          <w:b w:val="0"/>
          <w:bCs/>
          <w:color w:val="auto"/>
          <w:sz w:val="32"/>
          <w:szCs w:val="32"/>
          <w:lang w:val="en-US" w:eastAsia="zh-CN"/>
        </w:rPr>
        <w:t>现代商贸业</w:t>
      </w:r>
      <w:bookmarkEnd w:id="53"/>
    </w:p>
    <w:p w14:paraId="3CE3580F">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kern w:val="0"/>
          <w:szCs w:val="32"/>
          <w:rtl w:val="0"/>
          <w:lang w:val="en-US" w:eastAsia="zh-CN"/>
        </w:rPr>
      </w:pPr>
      <w:r>
        <w:rPr>
          <w:rFonts w:hint="default" w:ascii="Times New Roman" w:hAnsi="Times New Roman" w:cs="Times New Roman"/>
          <w:color w:val="auto"/>
          <w:kern w:val="0"/>
          <w:szCs w:val="32"/>
          <w:rtl w:val="0"/>
          <w:lang w:val="en-US" w:eastAsia="zh-CN"/>
        </w:rPr>
        <w:t>顺应商业变革和消费需求变化趋势，强基培优商贸载体，完善商业网点布局，健全商贸流通体系，提升服务品质、丰富消费场景、优化消费环境，加快建设区域性消费中心城市。到2030年，实现社会消费品零售总额380亿元，年均增长7%。</w:t>
      </w:r>
    </w:p>
    <w:p w14:paraId="01B5ADB0">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kern w:val="0"/>
          <w:szCs w:val="32"/>
          <w:rtl w:val="0"/>
          <w:lang w:val="en-US" w:eastAsia="zh-CN"/>
        </w:rPr>
      </w:pPr>
      <w:r>
        <w:rPr>
          <w:rFonts w:hint="default" w:ascii="Times New Roman" w:hAnsi="Times New Roman" w:eastAsia="楷体_GB2312" w:cs="Times New Roman"/>
          <w:b w:val="0"/>
          <w:bCs w:val="0"/>
          <w:color w:val="auto"/>
          <w:sz w:val="32"/>
          <w:szCs w:val="32"/>
          <w:lang w:val="en-US" w:eastAsia="zh-CN"/>
        </w:rPr>
        <w:t>优化商业网点布局。</w:t>
      </w:r>
      <w:r>
        <w:rPr>
          <w:rFonts w:hint="default" w:ascii="Times New Roman" w:hAnsi="Times New Roman" w:cs="Times New Roman"/>
          <w:color w:val="auto"/>
          <w:kern w:val="0"/>
          <w:szCs w:val="32"/>
          <w:rtl w:val="0"/>
          <w:lang w:val="en-US" w:eastAsia="zh-CN"/>
        </w:rPr>
        <w:t>推动商贸设施改造提升，打造天汉大道中央商务发展轴升级版，提质升级天汉大道核心商圈。扩容发展滨江片区商圈，依托吾悦广场的品牌吸引力和天汉长街的商业服务集聚效应，打造景观式、沉浸式消费场景，建设宜商宜居宜游的城市现代生活消费中心。完善提升兴汉片区商圈，依托兴汉胜境、汉人老家街、中央商业街等资源，推动商圈功能完善与品质提升，打造商文旅游融合发展的新型消费集聚区。加快建设城东新区商圈，推动商业综合体落地建设，打造新型商贸聚集区。围绕</w:t>
      </w:r>
      <w:r>
        <w:rPr>
          <w:rFonts w:hint="eastAsia" w:cs="Times New Roman"/>
          <w:color w:val="auto"/>
          <w:kern w:val="0"/>
          <w:szCs w:val="32"/>
          <w:rtl w:val="0"/>
          <w:lang w:val="en-US" w:eastAsia="zh-CN"/>
        </w:rPr>
        <w:t>“</w:t>
      </w:r>
      <w:r>
        <w:rPr>
          <w:rFonts w:hint="default" w:ascii="Times New Roman" w:hAnsi="Times New Roman" w:cs="Times New Roman"/>
          <w:color w:val="auto"/>
          <w:kern w:val="0"/>
          <w:szCs w:val="32"/>
          <w:rtl w:val="0"/>
          <w:lang w:val="en-US" w:eastAsia="zh-CN"/>
        </w:rPr>
        <w:t>夜购、夜食、夜宿、夜游、夜娱</w:t>
      </w:r>
      <w:r>
        <w:rPr>
          <w:rFonts w:hint="eastAsia" w:cs="Times New Roman"/>
          <w:color w:val="auto"/>
          <w:kern w:val="0"/>
          <w:szCs w:val="32"/>
          <w:rtl w:val="0"/>
          <w:lang w:val="en-US" w:eastAsia="zh-CN"/>
        </w:rPr>
        <w:t>”</w:t>
      </w:r>
      <w:r>
        <w:rPr>
          <w:rFonts w:hint="default" w:ascii="Times New Roman" w:hAnsi="Times New Roman" w:cs="Times New Roman"/>
          <w:color w:val="auto"/>
          <w:kern w:val="0"/>
          <w:szCs w:val="32"/>
          <w:rtl w:val="0"/>
          <w:lang w:val="en-US" w:eastAsia="zh-CN"/>
        </w:rPr>
        <w:t>等多维度，规划建设一批餐饮集聚型、文体消费型、便利服务型、生活体验型夜经济聚集区，丰富消费业态，打造零售新场景。健全镇村商业服务网络，</w:t>
      </w:r>
      <w:r>
        <w:rPr>
          <w:rFonts w:hint="default" w:ascii="Times New Roman" w:hAnsi="Times New Roman" w:eastAsia="仿宋_GB2312" w:cs="Times New Roman"/>
          <w:color w:val="auto"/>
          <w:sz w:val="32"/>
          <w:szCs w:val="32"/>
          <w:lang w:val="en-US" w:eastAsia="zh-CN"/>
        </w:rPr>
        <w:t>改善集贸市场面貌，增强镇级综合服务能力</w:t>
      </w:r>
      <w:r>
        <w:rPr>
          <w:rFonts w:hint="default" w:ascii="Times New Roman" w:hAnsi="Times New Roman" w:cs="Times New Roman"/>
          <w:color w:val="auto"/>
          <w:sz w:val="32"/>
          <w:szCs w:val="32"/>
          <w:lang w:val="en-US" w:eastAsia="zh-CN"/>
        </w:rPr>
        <w:t>。</w:t>
      </w:r>
    </w:p>
    <w:p w14:paraId="005BE081">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rPr>
      </w:pPr>
      <w:r>
        <w:rPr>
          <w:rFonts w:hint="default" w:ascii="Times New Roman" w:hAnsi="Times New Roman" w:eastAsia="楷体_GB2312" w:cs="Times New Roman"/>
          <w:b w:val="0"/>
          <w:bCs w:val="0"/>
          <w:color w:val="auto"/>
          <w:sz w:val="32"/>
          <w:szCs w:val="32"/>
          <w:lang w:val="en-US" w:eastAsia="zh-CN"/>
        </w:rPr>
        <w:t>提升住宿餐饮水平。</w:t>
      </w:r>
      <w:r>
        <w:rPr>
          <w:rFonts w:hint="default" w:ascii="Times New Roman" w:hAnsi="Times New Roman" w:eastAsia="仿宋_GB2312" w:cs="Times New Roman"/>
          <w:color w:val="auto"/>
        </w:rPr>
        <w:t>支持发展连锁商务酒店，推进集镇经济型酒店、特色宾馆和客栈发展，提高乡村民宿酒店和家庭旅馆服务规范化、标准化水平。</w:t>
      </w:r>
      <w:r>
        <w:rPr>
          <w:rFonts w:hint="default" w:ascii="Times New Roman" w:hAnsi="Times New Roman" w:cs="Times New Roman"/>
          <w:color w:val="auto"/>
          <w:lang w:val="en-US" w:eastAsia="zh-CN"/>
        </w:rPr>
        <w:t>推动</w:t>
      </w:r>
      <w:r>
        <w:rPr>
          <w:rFonts w:hint="default" w:ascii="Times New Roman" w:hAnsi="Times New Roman" w:eastAsia="仿宋_GB2312" w:cs="Times New Roman"/>
          <w:color w:val="auto"/>
        </w:rPr>
        <w:t>中式快餐连锁规范化发展，提升星级酒店餐饮服务质量</w:t>
      </w:r>
      <w:r>
        <w:rPr>
          <w:rFonts w:hint="default" w:ascii="Times New Roman" w:hAnsi="Times New Roman" w:cs="Times New Roman"/>
          <w:color w:val="auto"/>
          <w:lang w:eastAsia="zh-CN"/>
        </w:rPr>
        <w:t>。</w:t>
      </w:r>
      <w:r>
        <w:rPr>
          <w:rFonts w:hint="default" w:ascii="Times New Roman" w:hAnsi="Times New Roman" w:eastAsia="仿宋_GB2312" w:cs="Times New Roman"/>
          <w:color w:val="auto"/>
        </w:rPr>
        <w:t>挖掘陕南地方特色美食文化，培育品牌餐饮企业，</w:t>
      </w:r>
      <w:r>
        <w:rPr>
          <w:rFonts w:hint="default" w:ascii="Times New Roman" w:hAnsi="Times New Roman" w:cs="Times New Roman"/>
          <w:color w:val="auto"/>
          <w:lang w:val="en-US" w:eastAsia="zh-CN"/>
        </w:rPr>
        <w:t>打造天汉长街</w:t>
      </w:r>
      <w:r>
        <w:rPr>
          <w:rFonts w:hint="eastAsia" w:cs="Times New Roman"/>
          <w:color w:val="auto"/>
          <w:lang w:val="en-US" w:eastAsia="zh-CN"/>
        </w:rPr>
        <w:t>“</w:t>
      </w:r>
      <w:r>
        <w:rPr>
          <w:rFonts w:hint="default" w:ascii="Times New Roman" w:hAnsi="Times New Roman" w:cs="Times New Roman"/>
          <w:color w:val="auto"/>
          <w:lang w:val="en-US" w:eastAsia="zh-CN"/>
        </w:rPr>
        <w:t>味见汉中</w:t>
      </w:r>
      <w:r>
        <w:rPr>
          <w:rFonts w:hint="eastAsia" w:cs="Times New Roman"/>
          <w:color w:val="auto"/>
          <w:lang w:val="en-US" w:eastAsia="zh-CN"/>
        </w:rPr>
        <w:t>”</w:t>
      </w:r>
      <w:r>
        <w:rPr>
          <w:rFonts w:hint="default" w:ascii="Times New Roman" w:hAnsi="Times New Roman" w:cs="Times New Roman"/>
          <w:color w:val="auto"/>
          <w:lang w:val="en-US" w:eastAsia="zh-CN"/>
        </w:rPr>
        <w:t>、</w:t>
      </w:r>
      <w:r>
        <w:rPr>
          <w:rFonts w:hint="default" w:ascii="Times New Roman" w:hAnsi="Times New Roman" w:cs="Times New Roman"/>
          <w:color w:val="auto"/>
          <w:rtl w:val="0"/>
          <w:lang w:val="en-US" w:eastAsia="zh-CN"/>
        </w:rPr>
        <w:t>饮马池小吃城、前进路夜市、银滩路美食街等</w:t>
      </w:r>
      <w:r>
        <w:rPr>
          <w:rFonts w:hint="default" w:ascii="Times New Roman" w:hAnsi="Times New Roman" w:eastAsia="仿宋_GB2312" w:cs="Times New Roman"/>
          <w:color w:val="auto"/>
        </w:rPr>
        <w:t>特色美食街区。</w:t>
      </w:r>
    </w:p>
    <w:p w14:paraId="7E2F11F3">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Cs w:val="32"/>
          <w:lang w:val="en-US" w:eastAsia="zh-CN"/>
        </w:rPr>
      </w:pPr>
      <w:r>
        <w:rPr>
          <w:rFonts w:hint="default" w:ascii="Times New Roman" w:hAnsi="Times New Roman" w:eastAsia="楷体_GB2312" w:cs="Times New Roman"/>
          <w:b w:val="0"/>
          <w:bCs w:val="0"/>
          <w:color w:val="auto"/>
          <w:sz w:val="32"/>
          <w:szCs w:val="32"/>
          <w:lang w:val="en-US" w:eastAsia="zh-CN"/>
        </w:rPr>
        <w:t>加快发展社区服务。</w:t>
      </w:r>
      <w:r>
        <w:rPr>
          <w:rFonts w:hint="default" w:ascii="Times New Roman" w:hAnsi="Times New Roman" w:eastAsia="仿宋_GB2312" w:cs="Times New Roman"/>
          <w:color w:val="auto"/>
          <w:szCs w:val="32"/>
        </w:rPr>
        <w:t>健全城乡商贸流通网络，发展共同配送、仓配一体等集约化模式。完善社区服务</w:t>
      </w:r>
      <w:r>
        <w:rPr>
          <w:rFonts w:hint="default" w:ascii="Times New Roman" w:hAnsi="Times New Roman" w:eastAsia="仿宋_GB2312" w:cs="Times New Roman"/>
          <w:color w:val="auto"/>
          <w:szCs w:val="32"/>
          <w:lang w:val="en-US" w:eastAsia="zh-CN"/>
        </w:rPr>
        <w:t>网点</w:t>
      </w:r>
      <w:r>
        <w:rPr>
          <w:rFonts w:hint="default" w:ascii="Times New Roman" w:hAnsi="Times New Roman" w:eastAsia="仿宋_GB2312" w:cs="Times New Roman"/>
          <w:color w:val="auto"/>
          <w:szCs w:val="32"/>
        </w:rPr>
        <w:t>，</w:t>
      </w:r>
      <w:r>
        <w:rPr>
          <w:rFonts w:hint="default" w:ascii="Times New Roman" w:hAnsi="Times New Roman" w:cs="Times New Roman"/>
          <w:color w:val="auto"/>
          <w:szCs w:val="32"/>
          <w:lang w:val="en-US" w:eastAsia="zh-CN"/>
        </w:rPr>
        <w:t>大力发展家政、</w:t>
      </w:r>
      <w:r>
        <w:rPr>
          <w:rFonts w:hint="default" w:ascii="Times New Roman" w:hAnsi="Times New Roman" w:eastAsia="仿宋_GB2312" w:cs="Times New Roman"/>
          <w:color w:val="auto"/>
          <w:szCs w:val="32"/>
        </w:rPr>
        <w:t>婴幼儿看护、</w:t>
      </w:r>
      <w:r>
        <w:rPr>
          <w:rFonts w:hint="default" w:ascii="Times New Roman" w:hAnsi="Times New Roman" w:cs="Times New Roman"/>
          <w:color w:val="auto"/>
          <w:szCs w:val="32"/>
          <w:lang w:val="en-US" w:eastAsia="zh-CN"/>
        </w:rPr>
        <w:t>老年</w:t>
      </w:r>
      <w:r>
        <w:rPr>
          <w:rFonts w:hint="default" w:ascii="Times New Roman" w:hAnsi="Times New Roman" w:eastAsia="仿宋_GB2312" w:cs="Times New Roman"/>
          <w:color w:val="auto"/>
          <w:szCs w:val="32"/>
        </w:rPr>
        <w:t>护理、美容美发、家用电器及其他日用品修理等生活性服务，推动房地产中介、房屋租赁、物业管理、搬家保洁、车辆保养维修等生活性服务规范化、标准化发展。鼓励在乡村建设综合型服务网点</w:t>
      </w:r>
      <w:r>
        <w:rPr>
          <w:rFonts w:hint="default" w:ascii="Times New Roman" w:hAnsi="Times New Roman" w:cs="Times New Roman"/>
          <w:color w:val="auto"/>
          <w:szCs w:val="32"/>
          <w:lang w:val="en-US" w:eastAsia="zh-CN"/>
        </w:rPr>
        <w:t>，提高农村居民生活便利化水平。</w:t>
      </w:r>
    </w:p>
    <w:p w14:paraId="32E09564">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pacing w:val="8"/>
          <w:sz w:val="32"/>
          <w:szCs w:val="32"/>
          <w:lang w:eastAsia="zh-CN"/>
        </w:rPr>
      </w:pPr>
      <w:r>
        <w:rPr>
          <w:rFonts w:hint="default" w:ascii="Times New Roman" w:hAnsi="Times New Roman" w:eastAsia="楷体_GB2312" w:cs="Times New Roman"/>
          <w:b w:val="0"/>
          <w:bCs w:val="0"/>
          <w:color w:val="auto"/>
          <w:sz w:val="32"/>
          <w:szCs w:val="32"/>
          <w:lang w:val="en-US" w:eastAsia="zh-CN"/>
        </w:rPr>
        <w:t>大力发展电子商务。</w:t>
      </w:r>
      <w:r>
        <w:rPr>
          <w:rFonts w:hint="default" w:ascii="Times New Roman" w:hAnsi="Times New Roman" w:cs="Times New Roman"/>
          <w:b w:val="0"/>
          <w:bCs w:val="0"/>
          <w:color w:val="auto"/>
          <w:lang w:val="en-US" w:eastAsia="zh-CN"/>
        </w:rPr>
        <w:t>依托智慧汉台数字经济产业园、汉中龙工场、中泰跨境电商基地、阿曼熊猫馆全球运营中心等平台，引进优秀电商服务企业，</w:t>
      </w:r>
      <w:r>
        <w:rPr>
          <w:rFonts w:hint="default" w:ascii="Times New Roman" w:hAnsi="Times New Roman" w:cs="Times New Roman"/>
          <w:b w:val="0"/>
          <w:bCs w:val="0"/>
          <w:color w:val="auto"/>
          <w:lang w:eastAsia="zh-CN"/>
        </w:rPr>
        <w:t>鼓励开展网上交易。</w:t>
      </w:r>
      <w:r>
        <w:rPr>
          <w:rFonts w:hint="default" w:ascii="Times New Roman" w:hAnsi="Times New Roman" w:cs="Times New Roman"/>
          <w:b w:val="0"/>
          <w:bCs w:val="0"/>
          <w:color w:val="auto"/>
          <w:lang w:val="en-US" w:eastAsia="zh-CN"/>
        </w:rPr>
        <w:t>依托</w:t>
      </w:r>
      <w:r>
        <w:rPr>
          <w:rFonts w:hint="default" w:ascii="Times New Roman" w:hAnsi="Times New Roman" w:cs="Times New Roman"/>
          <w:color w:val="auto"/>
          <w:rtl w:val="0"/>
          <w:lang w:val="en-US" w:eastAsia="zh-CN"/>
        </w:rPr>
        <w:t>百川电商直播产业园、中鼎泰茂数字街区、</w:t>
      </w:r>
      <w:r>
        <w:rPr>
          <w:rFonts w:hint="default" w:ascii="Times New Roman" w:hAnsi="Times New Roman" w:eastAsia="仿宋_GB2312" w:cs="Times New Roman"/>
          <w:lang w:val="zh-TW" w:eastAsia="zh-TW"/>
        </w:rPr>
        <w:t>汉中云商工场</w:t>
      </w:r>
      <w:r>
        <w:rPr>
          <w:rFonts w:hint="default" w:ascii="Times New Roman" w:hAnsi="Times New Roman" w:cs="Times New Roman"/>
          <w:color w:val="auto"/>
          <w:rtl w:val="0"/>
          <w:lang w:val="en-US" w:eastAsia="zh-CN"/>
        </w:rPr>
        <w:t>等直播基地，</w:t>
      </w:r>
      <w:r>
        <w:rPr>
          <w:rFonts w:hint="default" w:ascii="Times New Roman" w:hAnsi="Times New Roman" w:cs="Times New Roman"/>
          <w:b w:val="0"/>
          <w:bCs w:val="0"/>
          <w:color w:val="auto"/>
          <w:lang w:eastAsia="zh-CN"/>
        </w:rPr>
        <w:t>配合短视频、直播等手段，推介陕南特色农副产品，培育网红产品。</w:t>
      </w:r>
      <w:r>
        <w:rPr>
          <w:rFonts w:hint="default" w:ascii="Times New Roman" w:hAnsi="Times New Roman" w:cs="Times New Roman"/>
          <w:color w:val="auto"/>
        </w:rPr>
        <w:t>将电商与农产品采摘采收、土</w:t>
      </w:r>
      <w:r>
        <w:rPr>
          <w:rFonts w:hint="default" w:ascii="Times New Roman" w:hAnsi="Times New Roman" w:cs="Times New Roman"/>
          <w:color w:val="auto"/>
          <w:lang w:eastAsia="zh-CN"/>
        </w:rPr>
        <w:t>特产</w:t>
      </w:r>
      <w:r>
        <w:rPr>
          <w:rFonts w:hint="default" w:ascii="Times New Roman" w:hAnsi="Times New Roman" w:cs="Times New Roman"/>
          <w:color w:val="auto"/>
        </w:rPr>
        <w:t>展销、乡村美食节等活动相结合，不断丰富场景内容，开展多种形式的农村电商直播促销活动</w:t>
      </w:r>
      <w:r>
        <w:rPr>
          <w:rFonts w:hint="default" w:ascii="Times New Roman" w:hAnsi="Times New Roman" w:cs="Times New Roman"/>
          <w:color w:val="auto"/>
          <w:lang w:eastAsia="zh-CN"/>
        </w:rPr>
        <w:t>。</w:t>
      </w:r>
      <w:r>
        <w:rPr>
          <w:rFonts w:hint="default" w:ascii="Times New Roman" w:hAnsi="Times New Roman" w:eastAsia="仿宋_GB2312" w:cs="Times New Roman"/>
          <w:color w:val="auto"/>
          <w:spacing w:val="8"/>
          <w:sz w:val="32"/>
          <w:szCs w:val="32"/>
        </w:rPr>
        <w:t>引导企业、合作社运用短视频、直播带货等新媒体为特色产品吸引</w:t>
      </w:r>
      <w:r>
        <w:rPr>
          <w:rFonts w:hint="eastAsia" w:cs="Times New Roman"/>
          <w:color w:val="auto"/>
          <w:spacing w:val="8"/>
          <w:sz w:val="32"/>
          <w:szCs w:val="32"/>
          <w:lang w:eastAsia="zh-CN"/>
        </w:rPr>
        <w:t>“</w:t>
      </w:r>
      <w:r>
        <w:rPr>
          <w:rFonts w:hint="default" w:ascii="Times New Roman" w:hAnsi="Times New Roman" w:eastAsia="仿宋_GB2312" w:cs="Times New Roman"/>
          <w:color w:val="auto"/>
          <w:spacing w:val="8"/>
          <w:sz w:val="32"/>
          <w:szCs w:val="32"/>
        </w:rPr>
        <w:t>流量</w:t>
      </w:r>
      <w:r>
        <w:rPr>
          <w:rFonts w:hint="eastAsia" w:cs="Times New Roman"/>
          <w:color w:val="auto"/>
          <w:spacing w:val="8"/>
          <w:sz w:val="32"/>
          <w:szCs w:val="32"/>
          <w:lang w:eastAsia="zh-CN"/>
        </w:rPr>
        <w:t>”</w:t>
      </w:r>
      <w:r>
        <w:rPr>
          <w:rFonts w:hint="default" w:ascii="Times New Roman" w:hAnsi="Times New Roman" w:cs="Times New Roman"/>
          <w:color w:val="auto"/>
          <w:spacing w:val="8"/>
          <w:sz w:val="32"/>
          <w:szCs w:val="32"/>
          <w:lang w:eastAsia="zh-CN"/>
        </w:rPr>
        <w:t>。</w:t>
      </w:r>
    </w:p>
    <w:tbl>
      <w:tblPr>
        <w:tblStyle w:val="15"/>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0"/>
      </w:tblGrid>
      <w:tr w14:paraId="7208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860" w:type="dxa"/>
            <w:noWrap w:val="0"/>
            <w:vAlign w:val="center"/>
          </w:tcPr>
          <w:p w14:paraId="35BA0A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专栏2-3  现代商贸重点工程</w:t>
            </w:r>
          </w:p>
        </w:tc>
      </w:tr>
      <w:tr w14:paraId="738B5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860" w:type="dxa"/>
            <w:noWrap w:val="0"/>
            <w:vAlign w:val="top"/>
          </w:tcPr>
          <w:p w14:paraId="01D4DB5B">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现代商贸</w:t>
            </w:r>
            <w:r>
              <w:rPr>
                <w:rFonts w:hint="default" w:ascii="Times New Roman" w:hAnsi="Times New Roman" w:eastAsia="仿宋_GB2312" w:cs="Times New Roman"/>
                <w:b/>
                <w:bCs/>
                <w:color w:val="auto"/>
                <w:spacing w:val="0"/>
                <w:kern w:val="2"/>
                <w:sz w:val="24"/>
                <w:szCs w:val="24"/>
                <w:vertAlign w:val="baseline"/>
                <w:lang w:val="en-US" w:eastAsia="zh-CN" w:bidi="ar-SA"/>
              </w:rPr>
              <w:t>提档升级工程。</w:t>
            </w:r>
            <w:r>
              <w:rPr>
                <w:rFonts w:hint="default" w:ascii="Times New Roman" w:hAnsi="Times New Roman" w:cs="Times New Roman"/>
                <w:b w:val="0"/>
                <w:bCs w:val="0"/>
                <w:color w:val="auto"/>
                <w:spacing w:val="0"/>
                <w:kern w:val="2"/>
                <w:sz w:val="24"/>
                <w:szCs w:val="24"/>
                <w:vertAlign w:val="baseline"/>
                <w:lang w:val="en-US" w:eastAsia="zh-CN" w:bidi="ar-SA"/>
              </w:rPr>
              <w:t>重点</w:t>
            </w:r>
            <w:r>
              <w:rPr>
                <w:rFonts w:hint="default" w:ascii="Times New Roman" w:hAnsi="Times New Roman" w:eastAsia="仿宋_GB2312" w:cs="Times New Roman"/>
                <w:b w:val="0"/>
                <w:bCs w:val="0"/>
                <w:color w:val="auto"/>
                <w:spacing w:val="0"/>
                <w:kern w:val="2"/>
                <w:sz w:val="24"/>
                <w:szCs w:val="24"/>
                <w:vertAlign w:val="baseline"/>
                <w:lang w:val="en-US" w:eastAsia="zh-CN" w:bidi="ar-SA"/>
              </w:rPr>
              <w:t>建设汉中特色消费中心</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乐嘉—前进路夜市夜经济综合体</w:t>
            </w:r>
            <w:r>
              <w:rPr>
                <w:rFonts w:hint="default" w:ascii="Times New Roman" w:hAnsi="Times New Roman" w:cs="Times New Roman"/>
                <w:b w:val="0"/>
                <w:bCs w:val="0"/>
                <w:color w:val="auto"/>
                <w:spacing w:val="0"/>
                <w:kern w:val="2"/>
                <w:sz w:val="24"/>
                <w:szCs w:val="24"/>
                <w:vertAlign w:val="baseline"/>
                <w:lang w:val="en-US" w:eastAsia="zh-CN" w:bidi="ar-SA"/>
              </w:rPr>
              <w:t>、中青国际商业综合体、大红门国际商厦、虎桥副食品市场智能化改造、海韵食光・海鲜集市焕新、陕南粮油批发交易市场、竹园嘉喜金悦大酒店、汉森建材城四期、汉中电商孵化基地、陕南智慧汽车服务产业园、</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汉中家政师</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劳务品牌提升等项目。</w:t>
            </w:r>
          </w:p>
          <w:p w14:paraId="22C3E97C">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商旅名街建设工程。</w:t>
            </w:r>
            <w:r>
              <w:rPr>
                <w:rFonts w:hint="default" w:ascii="Times New Roman" w:hAnsi="Times New Roman" w:cs="Times New Roman"/>
                <w:b w:val="0"/>
                <w:bCs w:val="0"/>
                <w:color w:val="auto"/>
                <w:spacing w:val="0"/>
                <w:kern w:val="2"/>
                <w:sz w:val="24"/>
                <w:szCs w:val="24"/>
                <w:vertAlign w:val="baseline"/>
                <w:lang w:val="en-US" w:eastAsia="zh-CN" w:bidi="ar-SA"/>
              </w:rPr>
              <w:t>重点建设汉文化特色街区、东关历史文化街区提升、南关老街特色街区、茶与酒肆特色街区、爱转角文创街区、中山街历史文化产业街区改造提升、西郊记忆文化科技创意特色街区二期、龙小爱特色街区提升、西北农副产业园农商旅融合等项目</w:t>
            </w:r>
            <w:r>
              <w:rPr>
                <w:rFonts w:hint="default" w:ascii="Times New Roman" w:hAnsi="Times New Roman" w:eastAsia="仿宋_GB2312" w:cs="Times New Roman"/>
                <w:b w:val="0"/>
                <w:bCs w:val="0"/>
                <w:color w:val="auto"/>
                <w:spacing w:val="0"/>
                <w:kern w:val="2"/>
                <w:sz w:val="24"/>
                <w:szCs w:val="24"/>
                <w:vertAlign w:val="baseline"/>
                <w:lang w:val="en-US" w:eastAsia="zh-CN" w:bidi="ar-SA"/>
              </w:rPr>
              <w:t>。</w:t>
            </w:r>
          </w:p>
        </w:tc>
      </w:tr>
    </w:tbl>
    <w:p w14:paraId="092D59AD">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54" w:name="_Toc25302"/>
      <w:bookmarkStart w:id="55" w:name="_Toc28162"/>
      <w:r>
        <w:rPr>
          <w:rFonts w:hint="default" w:ascii="Times New Roman" w:hAnsi="Times New Roman" w:eastAsia="黑体" w:cs="Times New Roman"/>
          <w:b w:val="0"/>
          <w:bCs/>
          <w:color w:val="auto"/>
          <w:sz w:val="32"/>
          <w:szCs w:val="32"/>
          <w:lang w:val="en-US" w:eastAsia="zh-CN"/>
        </w:rPr>
        <w:t>三、</w:t>
      </w:r>
      <w:r>
        <w:rPr>
          <w:rFonts w:hint="default" w:ascii="Times New Roman" w:hAnsi="Times New Roman" w:eastAsia="黑体" w:cs="Times New Roman"/>
          <w:b w:val="0"/>
          <w:bCs/>
          <w:color w:val="auto"/>
        </w:rPr>
        <w:t>积极发展</w:t>
      </w:r>
      <w:r>
        <w:rPr>
          <w:rFonts w:hint="default" w:ascii="Times New Roman" w:hAnsi="Times New Roman" w:eastAsia="黑体" w:cs="Times New Roman"/>
          <w:b w:val="0"/>
          <w:bCs/>
          <w:color w:val="auto"/>
          <w:sz w:val="32"/>
          <w:szCs w:val="32"/>
          <w:lang w:val="en-US" w:eastAsia="zh-CN"/>
        </w:rPr>
        <w:t>康养产业</w:t>
      </w:r>
      <w:bookmarkEnd w:id="54"/>
      <w:bookmarkEnd w:id="55"/>
    </w:p>
    <w:p w14:paraId="3F5779C0">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积极培育医养融合产业、健康旅游产业、中医药产业等康养业态，构建全域全龄全链康养体系，推动产业深度</w:t>
      </w:r>
      <w:r>
        <w:rPr>
          <w:rFonts w:hint="default" w:ascii="Times New Roman" w:hAnsi="Times New Roman" w:eastAsia="仿宋_GB2312" w:cs="Times New Roman"/>
          <w:color w:val="auto"/>
        </w:rPr>
        <w:t>融合，打造</w:t>
      </w:r>
      <w:r>
        <w:rPr>
          <w:rFonts w:hint="default" w:ascii="Times New Roman" w:hAnsi="Times New Roman" w:eastAsia="仿宋_GB2312" w:cs="Times New Roman"/>
          <w:color w:val="auto"/>
          <w:lang w:val="en-US" w:eastAsia="zh-CN"/>
        </w:rPr>
        <w:t>陕甘川毗邻地区生态康养首选地、汉文化疗愈标杆区、中医药养生示范城。到2030年，</w:t>
      </w:r>
      <w:r>
        <w:rPr>
          <w:rFonts w:hint="default" w:ascii="Times New Roman" w:hAnsi="Times New Roman" w:cs="Times New Roman"/>
          <w:color w:val="auto"/>
          <w:lang w:val="en-US" w:eastAsia="zh-CN"/>
        </w:rPr>
        <w:t>实现</w:t>
      </w:r>
      <w:r>
        <w:rPr>
          <w:rFonts w:hint="default" w:ascii="Times New Roman" w:hAnsi="Times New Roman" w:eastAsia="仿宋_GB2312" w:cs="Times New Roman"/>
          <w:color w:val="auto"/>
          <w:lang w:val="en-US" w:eastAsia="zh-CN"/>
        </w:rPr>
        <w:t>康养产业营业收入</w:t>
      </w:r>
      <w:r>
        <w:rPr>
          <w:rFonts w:hint="default" w:ascii="Times New Roman" w:hAnsi="Times New Roman" w:cs="Times New Roman"/>
          <w:color w:val="auto"/>
          <w:lang w:val="en-US" w:eastAsia="zh-CN"/>
        </w:rPr>
        <w:t>5</w:t>
      </w:r>
      <w:r>
        <w:rPr>
          <w:rFonts w:hint="default" w:ascii="Times New Roman" w:hAnsi="Times New Roman" w:eastAsia="仿宋_GB2312" w:cs="Times New Roman"/>
          <w:color w:val="auto"/>
          <w:lang w:val="en-US" w:eastAsia="zh-CN"/>
        </w:rPr>
        <w:t>0亿元</w:t>
      </w:r>
      <w:r>
        <w:rPr>
          <w:rFonts w:hint="default" w:ascii="Times New Roman" w:hAnsi="Times New Roman" w:cs="Times New Roman"/>
          <w:color w:val="auto"/>
          <w:lang w:val="en-US" w:eastAsia="zh-CN"/>
        </w:rPr>
        <w:t>以上</w:t>
      </w:r>
      <w:r>
        <w:rPr>
          <w:rFonts w:hint="default" w:ascii="Times New Roman" w:hAnsi="Times New Roman" w:eastAsia="仿宋_GB2312" w:cs="Times New Roman"/>
          <w:color w:val="auto"/>
          <w:lang w:val="en-US" w:eastAsia="zh-CN"/>
        </w:rPr>
        <w:t>。</w:t>
      </w:r>
    </w:p>
    <w:p w14:paraId="3E8338F2">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rPr>
      </w:pPr>
      <w:r>
        <w:rPr>
          <w:rFonts w:hint="default" w:ascii="Times New Roman" w:hAnsi="Times New Roman" w:eastAsia="楷体_GB2312" w:cs="Times New Roman"/>
          <w:b w:val="0"/>
          <w:bCs w:val="0"/>
          <w:color w:val="auto"/>
          <w:kern w:val="0"/>
          <w:sz w:val="32"/>
          <w:szCs w:val="32"/>
          <w:lang w:val="en-US" w:eastAsia="zh-CN"/>
        </w:rPr>
        <w:t>发展生态康养旅游。</w:t>
      </w:r>
      <w:r>
        <w:rPr>
          <w:rFonts w:hint="default" w:ascii="Times New Roman" w:hAnsi="Times New Roman" w:eastAsia="仿宋_GB2312" w:cs="Times New Roman"/>
          <w:color w:val="auto"/>
          <w:kern w:val="0"/>
          <w:sz w:val="32"/>
          <w:szCs w:val="32"/>
        </w:rPr>
        <w:t>综合利用森林资源、人文资源、生态资源、旅游资源等资源，</w:t>
      </w:r>
      <w:r>
        <w:rPr>
          <w:rFonts w:hint="default" w:ascii="Times New Roman" w:hAnsi="Times New Roman" w:eastAsia="仿宋_GB2312" w:cs="Times New Roman"/>
          <w:color w:val="auto"/>
          <w:sz w:val="32"/>
          <w:szCs w:val="32"/>
        </w:rPr>
        <w:t>结合</w:t>
      </w:r>
      <w:r>
        <w:rPr>
          <w:rFonts w:hint="default" w:ascii="Times New Roman" w:hAnsi="Times New Roman" w:cs="Times New Roman"/>
          <w:color w:val="auto"/>
          <w:sz w:val="32"/>
          <w:szCs w:val="32"/>
          <w:lang w:val="en-US" w:eastAsia="zh-CN"/>
        </w:rPr>
        <w:t>汉台</w:t>
      </w:r>
      <w:r>
        <w:rPr>
          <w:rFonts w:hint="default" w:ascii="Times New Roman" w:hAnsi="Times New Roman" w:eastAsia="仿宋_GB2312" w:cs="Times New Roman"/>
          <w:color w:val="auto"/>
          <w:sz w:val="32"/>
          <w:szCs w:val="32"/>
        </w:rPr>
        <w:t>独特的汉方养生、中药养生、绿色有机农产品等资源，</w:t>
      </w:r>
      <w:r>
        <w:rPr>
          <w:rFonts w:hint="default" w:ascii="Times New Roman" w:hAnsi="Times New Roman" w:eastAsia="仿宋_GB2312" w:cs="Times New Roman"/>
          <w:color w:val="auto"/>
        </w:rPr>
        <w:t>打造休闲康养、田园康养、中医药康养、森林康养等生态康养产品</w:t>
      </w:r>
      <w:r>
        <w:rPr>
          <w:rFonts w:hint="default" w:ascii="Times New Roman" w:hAnsi="Times New Roman" w:cs="Times New Roman"/>
          <w:color w:val="auto"/>
          <w:lang w:eastAsia="zh-CN"/>
        </w:rPr>
        <w:t>。</w:t>
      </w:r>
      <w:r>
        <w:rPr>
          <w:rFonts w:hint="default" w:ascii="Times New Roman" w:hAnsi="Times New Roman" w:eastAsia="仿宋_GB2312" w:cs="Times New Roman"/>
          <w:color w:val="auto"/>
          <w:sz w:val="32"/>
          <w:szCs w:val="32"/>
        </w:rPr>
        <w:t>加快玉龙岛综合开发，建设集滨水休闲、旅居康养、运动健身、水上娱乐、药膳康体于一体的滨水康养度假区</w:t>
      </w:r>
      <w:r>
        <w:rPr>
          <w:rFonts w:hint="default" w:ascii="Times New Roman" w:hAnsi="Times New Roman" w:cs="Times New Roman"/>
          <w:color w:val="auto"/>
          <w:sz w:val="32"/>
          <w:szCs w:val="32"/>
          <w:lang w:eastAsia="zh-CN"/>
        </w:rPr>
        <w:t>。</w:t>
      </w:r>
      <w:r>
        <w:rPr>
          <w:rFonts w:hint="default" w:ascii="Times New Roman" w:hAnsi="Times New Roman" w:eastAsia="仿宋_GB2312" w:cs="Times New Roman"/>
          <w:color w:val="auto"/>
        </w:rPr>
        <w:t>积极发展银发休闲游、异地候鸟式养老养生游，</w:t>
      </w:r>
      <w:r>
        <w:rPr>
          <w:rFonts w:hint="default" w:ascii="Times New Roman" w:hAnsi="Times New Roman" w:cs="Times New Roman"/>
          <w:color w:val="auto"/>
          <w:sz w:val="32"/>
          <w:szCs w:val="32"/>
          <w:lang w:val="en-US" w:eastAsia="zh-CN"/>
        </w:rPr>
        <w:t>培育发展</w:t>
      </w:r>
      <w:r>
        <w:rPr>
          <w:rFonts w:hint="default" w:ascii="Times New Roman" w:hAnsi="Times New Roman" w:eastAsia="仿宋_GB2312" w:cs="Times New Roman"/>
          <w:color w:val="auto"/>
          <w:sz w:val="32"/>
          <w:szCs w:val="32"/>
        </w:rPr>
        <w:t>康养民宿等新型业态</w:t>
      </w:r>
      <w:r>
        <w:rPr>
          <w:rFonts w:hint="default" w:ascii="Times New Roman" w:hAnsi="Times New Roman" w:cs="Times New Roman"/>
          <w:color w:val="auto"/>
          <w:sz w:val="32"/>
          <w:szCs w:val="32"/>
          <w:lang w:eastAsia="zh-CN"/>
        </w:rPr>
        <w:t>，</w:t>
      </w:r>
      <w:r>
        <w:rPr>
          <w:rFonts w:hint="default" w:ascii="Times New Roman" w:hAnsi="Times New Roman" w:eastAsia="仿宋_GB2312" w:cs="Times New Roman"/>
          <w:color w:val="auto"/>
          <w:sz w:val="32"/>
          <w:szCs w:val="32"/>
        </w:rPr>
        <w:t>打造全省康养旅游新名片。</w:t>
      </w:r>
    </w:p>
    <w:p w14:paraId="7E4A1E60">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lang w:val="en-US" w:eastAsia="zh-CN"/>
        </w:rPr>
      </w:pPr>
      <w:r>
        <w:rPr>
          <w:rFonts w:hint="default" w:ascii="Times New Roman" w:hAnsi="Times New Roman" w:eastAsia="楷体_GB2312" w:cs="Times New Roman"/>
          <w:b w:val="0"/>
          <w:bCs w:val="0"/>
          <w:color w:val="auto"/>
          <w:kern w:val="0"/>
          <w:sz w:val="32"/>
          <w:szCs w:val="32"/>
          <w:lang w:val="en-US" w:eastAsia="zh-CN"/>
        </w:rPr>
        <w:t>推动中医药传承创新。</w:t>
      </w:r>
      <w:r>
        <w:rPr>
          <w:rFonts w:hint="default" w:ascii="Times New Roman" w:hAnsi="Times New Roman" w:eastAsia="仿宋_GB2312" w:cs="Times New Roman"/>
          <w:color w:val="auto"/>
          <w:lang w:val="en-US" w:eastAsia="zh-CN"/>
        </w:rPr>
        <w:t>以</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汉八味</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中药材为核心，构建涵盖药用动植物种养殖、中医药治疗康养、药食同源健康食品制造、中医药生产交易等领域的中医药产业体系，发展特色医疗、慢性病防治、疗养康复、美容保健、中医药养生、中医药疗养康复等高品质中医医疗保健服务，建设具有</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汉药汉医</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特色的中医药康养基地、中医药健康旅游基地和中药材生产交易基地。</w:t>
      </w:r>
    </w:p>
    <w:p w14:paraId="116E7FA7">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lang w:val="en-US" w:eastAsia="zh-CN"/>
        </w:rPr>
      </w:pPr>
      <w:r>
        <w:rPr>
          <w:rFonts w:hint="default" w:ascii="Times New Roman" w:hAnsi="Times New Roman" w:eastAsia="楷体_GB2312" w:cs="Times New Roman"/>
          <w:b w:val="0"/>
          <w:bCs w:val="0"/>
          <w:color w:val="auto"/>
          <w:kern w:val="0"/>
          <w:sz w:val="32"/>
          <w:szCs w:val="32"/>
          <w:lang w:val="en-US" w:eastAsia="zh-CN"/>
        </w:rPr>
        <w:t>促进医养结合发展。</w:t>
      </w:r>
      <w:r>
        <w:rPr>
          <w:rFonts w:hint="default" w:ascii="Times New Roman" w:hAnsi="Times New Roman" w:eastAsia="仿宋_GB2312" w:cs="Times New Roman"/>
          <w:color w:val="auto"/>
          <w:lang w:val="en-US" w:eastAsia="zh-CN"/>
        </w:rPr>
        <w:t>加强养老服务机构和医疗卫生服务机构协同，强化照护服务整合，健全双向转诊绿色通道，简化转诊就医程序。招引国内知名品牌医养机构和先进技术、管理经验，创新推动镇卫生院与养老机构深度融合发展，通过机构联建、协议合作、委托管理及医护驻点等多元化协作模式构建医养联合体。推进社区卫生服务中心与社区养老服务站、镇卫生院与敬老院、村卫生室与农村幸福院等设施就近配套建设。</w:t>
      </w:r>
    </w:p>
    <w:tbl>
      <w:tblPr>
        <w:tblStyle w:val="15"/>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0"/>
      </w:tblGrid>
      <w:tr w14:paraId="0C5C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860" w:type="dxa"/>
            <w:noWrap w:val="0"/>
            <w:vAlign w:val="center"/>
          </w:tcPr>
          <w:p w14:paraId="296B13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专栏2-4  康养产业重点工程</w:t>
            </w:r>
          </w:p>
        </w:tc>
      </w:tr>
      <w:tr w14:paraId="2B40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60" w:type="dxa"/>
            <w:noWrap w:val="0"/>
            <w:vAlign w:val="top"/>
          </w:tcPr>
          <w:p w14:paraId="5469D39B">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color w:val="auto"/>
                <w:lang w:val="en-US" w:eastAsia="zh-CN"/>
              </w:rPr>
            </w:pPr>
            <w:r>
              <w:rPr>
                <w:rFonts w:hint="default" w:ascii="Times New Roman" w:hAnsi="Times New Roman" w:cs="Times New Roman"/>
                <w:b w:val="0"/>
                <w:bCs w:val="0"/>
                <w:color w:val="auto"/>
                <w:spacing w:val="0"/>
                <w:kern w:val="2"/>
                <w:sz w:val="24"/>
                <w:szCs w:val="24"/>
                <w:vertAlign w:val="baseline"/>
                <w:lang w:val="en-US" w:eastAsia="zh-CN" w:bidi="ar-SA"/>
              </w:rPr>
              <w:t>重点</w:t>
            </w:r>
            <w:r>
              <w:rPr>
                <w:rFonts w:hint="default" w:ascii="Times New Roman" w:hAnsi="Times New Roman" w:eastAsia="仿宋_GB2312" w:cs="Times New Roman"/>
                <w:b w:val="0"/>
                <w:bCs w:val="0"/>
                <w:color w:val="auto"/>
                <w:spacing w:val="0"/>
                <w:kern w:val="2"/>
                <w:sz w:val="24"/>
                <w:szCs w:val="24"/>
                <w:vertAlign w:val="baseline"/>
                <w:lang w:val="en-US" w:eastAsia="zh-CN" w:bidi="ar-SA"/>
              </w:rPr>
              <w:t>建设</w:t>
            </w:r>
            <w:r>
              <w:rPr>
                <w:rFonts w:hint="default" w:ascii="Times New Roman" w:hAnsi="Times New Roman" w:cs="Times New Roman"/>
                <w:b w:val="0"/>
                <w:bCs w:val="0"/>
                <w:color w:val="auto"/>
                <w:spacing w:val="0"/>
                <w:kern w:val="2"/>
                <w:sz w:val="24"/>
                <w:szCs w:val="24"/>
                <w:vertAlign w:val="baseline"/>
                <w:lang w:val="en-US" w:eastAsia="zh-CN" w:bidi="ar-SA"/>
              </w:rPr>
              <w:t>天台－哑姑山综合生态文旅、汉水滨·幸福路生态休闲街区一期、老君全域休闲旅游度假区、白杨寨生态旅游（二期）、生态康养旅居产业园、七里街道智慧旅居康复养老中心、阳辉农业园智慧康养度假区、嘉旺园生态康养旅居社区、褒河医养农旅融合示范、汉台区医养大健康产业综合等项目。</w:t>
            </w:r>
          </w:p>
        </w:tc>
      </w:tr>
    </w:tbl>
    <w:p w14:paraId="019B8849">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56" w:name="_Toc8811"/>
      <w:r>
        <w:rPr>
          <w:rFonts w:hint="default" w:ascii="Times New Roman" w:hAnsi="Times New Roman" w:eastAsia="黑体" w:cs="Times New Roman"/>
          <w:b w:val="0"/>
          <w:bCs/>
          <w:color w:val="auto"/>
          <w:sz w:val="32"/>
          <w:szCs w:val="32"/>
          <w:lang w:val="en-US" w:eastAsia="zh-CN"/>
        </w:rPr>
        <w:t>四、大力</w:t>
      </w:r>
      <w:r>
        <w:rPr>
          <w:rFonts w:hint="default" w:ascii="Times New Roman" w:hAnsi="Times New Roman" w:eastAsia="黑体" w:cs="Times New Roman"/>
          <w:b w:val="0"/>
          <w:bCs/>
          <w:color w:val="auto"/>
          <w:lang w:val="en-US" w:eastAsia="zh-CN"/>
        </w:rPr>
        <w:t>发展银发经济</w:t>
      </w:r>
    </w:p>
    <w:p w14:paraId="6D4D5D11">
      <w:pPr>
        <w:keepNext w:val="0"/>
        <w:keepLines w:val="0"/>
        <w:pageBreakBefore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color w:val="auto"/>
        </w:rPr>
      </w:pPr>
      <w:r>
        <w:rPr>
          <w:rFonts w:hint="default" w:ascii="Times New Roman" w:hAnsi="Times New Roman" w:cs="Times New Roman"/>
          <w:color w:val="auto"/>
        </w:rPr>
        <w:t>坚持以人民为中心的发展思想，</w:t>
      </w:r>
      <w:r>
        <w:rPr>
          <w:rFonts w:hint="default" w:ascii="Times New Roman" w:hAnsi="Times New Roman" w:cs="Times New Roman"/>
          <w:color w:val="auto"/>
          <w:lang w:eastAsia="zh-CN"/>
        </w:rPr>
        <w:t>推动</w:t>
      </w:r>
      <w:r>
        <w:rPr>
          <w:rFonts w:hint="default" w:ascii="Times New Roman" w:hAnsi="Times New Roman" w:cs="Times New Roman"/>
          <w:color w:val="auto"/>
        </w:rPr>
        <w:t>养老服务多业态升级，拓展养老服务消费新场景，促进养老与医疗、旅游、文化、体育等产业深度融合，培育高精尖产品和高品质服务模式，加快银发经济规模化、标准化、集群化、品牌化发展，不断</w:t>
      </w:r>
      <w:r>
        <w:rPr>
          <w:rFonts w:hint="default" w:ascii="Times New Roman" w:hAnsi="Times New Roman" w:cs="Times New Roman"/>
          <w:color w:val="auto"/>
          <w:lang w:val="en-US" w:eastAsia="zh-CN"/>
        </w:rPr>
        <w:t>满足</w:t>
      </w:r>
      <w:r>
        <w:rPr>
          <w:rFonts w:hint="default" w:ascii="Times New Roman" w:hAnsi="Times New Roman" w:cs="Times New Roman"/>
          <w:color w:val="auto"/>
        </w:rPr>
        <w:t>人民对美好生活的向往。</w:t>
      </w:r>
    </w:p>
    <w:p w14:paraId="04F72904">
      <w:pPr>
        <w:keepNext w:val="0"/>
        <w:keepLines w:val="0"/>
        <w:pageBreakBefore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color w:val="auto"/>
          <w:lang w:val="en-US" w:eastAsia="zh-CN"/>
        </w:rPr>
      </w:pPr>
      <w:r>
        <w:rPr>
          <w:rFonts w:hint="default" w:ascii="Times New Roman" w:hAnsi="Times New Roman" w:eastAsia="楷体_GB2312" w:cs="Times New Roman"/>
          <w:b w:val="0"/>
          <w:bCs w:val="0"/>
          <w:color w:val="auto"/>
          <w:kern w:val="0"/>
          <w:sz w:val="32"/>
          <w:szCs w:val="32"/>
          <w:lang w:val="en-US" w:eastAsia="zh-CN"/>
        </w:rPr>
        <w:t>拓展多元养老服务业态</w:t>
      </w:r>
      <w:r>
        <w:rPr>
          <w:rFonts w:hint="default" w:ascii="Times New Roman" w:hAnsi="Times New Roman" w:eastAsia="仿宋_GB2312" w:cs="Times New Roman"/>
          <w:b w:val="0"/>
          <w:bCs w:val="0"/>
          <w:color w:val="auto"/>
          <w:lang w:eastAsia="zh-CN"/>
        </w:rPr>
        <w:t>。</w:t>
      </w:r>
      <w:r>
        <w:rPr>
          <w:rFonts w:hint="default" w:ascii="Times New Roman" w:hAnsi="Times New Roman" w:eastAsia="仿宋_GB2312" w:cs="Times New Roman"/>
          <w:color w:val="auto"/>
        </w:rPr>
        <w:t>扩大老年助餐服务，鼓励引导餐饮企业、物业服务企业、公益慈善组织参与老年助餐服务，引导外卖平台及物流企业参与老年助餐配送。拓展社区居家助老服务，鼓励医疗机构、养老机构、家政企业、物业服务企业提供以生活护理、康复照料为重点的上门服务。优化老年健康服务，加强综合医院、中医医院老年医学科建设，提升基层医疗卫生机构康复护理、健康管理等能力建设，鼓励拓展医养结合服务，推动建设老年友善医疗机构。完善养老照护服务，鼓励医疗机构将空余床位转型为养老服务床位，推动养老照护资源共享</w:t>
      </w:r>
      <w:r>
        <w:rPr>
          <w:rFonts w:hint="default" w:ascii="Times New Roman" w:hAnsi="Times New Roman" w:eastAsia="仿宋_GB2312" w:cs="Times New Roman"/>
          <w:color w:val="auto"/>
          <w:lang w:val="en-US" w:eastAsia="zh-CN"/>
        </w:rPr>
        <w:t>。</w:t>
      </w:r>
    </w:p>
    <w:p w14:paraId="2C7BFEB0">
      <w:pPr>
        <w:keepNext w:val="0"/>
        <w:keepLines w:val="0"/>
        <w:pageBreakBefore w:val="0"/>
        <w:widowControl/>
        <w:suppressLineNumbers w:val="0"/>
        <w:kinsoku/>
        <w:wordWrap/>
        <w:overflowPunct/>
        <w:topLinePunct w:val="0"/>
        <w:autoSpaceDE/>
        <w:autoSpaceDN/>
        <w:bidi w:val="0"/>
        <w:adjustRightInd/>
        <w:snapToGrid/>
        <w:spacing w:line="240" w:lineRule="auto"/>
        <w:ind w:firstLine="632" w:firstLineChars="200"/>
        <w:jc w:val="left"/>
        <w:rPr>
          <w:rFonts w:hint="default" w:ascii="Times New Roman" w:hAnsi="Times New Roman" w:eastAsia="仿宋_GB2312" w:cs="Times New Roman"/>
          <w:color w:val="auto"/>
          <w:lang w:val="en-US" w:eastAsia="zh-CN"/>
        </w:rPr>
      </w:pPr>
      <w:r>
        <w:rPr>
          <w:rFonts w:hint="default" w:ascii="Times New Roman" w:hAnsi="Times New Roman" w:eastAsia="楷体_GB2312" w:cs="Times New Roman"/>
          <w:b w:val="0"/>
          <w:bCs w:val="0"/>
          <w:color w:val="auto"/>
          <w:kern w:val="0"/>
          <w:sz w:val="32"/>
          <w:szCs w:val="32"/>
          <w:lang w:val="en-US" w:eastAsia="zh-CN"/>
        </w:rPr>
        <w:t>提升养老产品供给质量。</w:t>
      </w:r>
      <w:r>
        <w:rPr>
          <w:rFonts w:hint="default" w:ascii="Times New Roman" w:hAnsi="Times New Roman" w:eastAsia="仿宋_GB2312" w:cs="Times New Roman"/>
          <w:color w:val="auto"/>
          <w:lang w:val="en-US" w:eastAsia="zh-CN"/>
        </w:rPr>
        <w:t>培育银发经济经营主体，支持小微企业连锁化、集团化发展，打造健康养老等领域的标杆示范企业，打造一批具有示范带动作用的养老服务领域知名品牌和龙头企业。推进银发经济产业集群发展，围绕特色中医药、旅居养老、健康食品、老年用品、健康管理服务、抗衰老、康复辅助器具、智慧养老等产业，谋划引进一批医疗美容、健康食品、中药保健、老年用品及康复辅具等领域优质项目。引导电商平台、大型商超设立银发消费专区，鼓励子女线上下单、老人线下体验服务。</w:t>
      </w:r>
    </w:p>
    <w:p w14:paraId="3E100074">
      <w:pPr>
        <w:keepNext w:val="0"/>
        <w:keepLines w:val="0"/>
        <w:pageBreakBefore w:val="0"/>
        <w:widowControl/>
        <w:suppressLineNumbers w:val="0"/>
        <w:kinsoku/>
        <w:wordWrap/>
        <w:overflowPunct/>
        <w:topLinePunct w:val="0"/>
        <w:autoSpaceDE/>
        <w:autoSpaceDN/>
        <w:bidi w:val="0"/>
        <w:adjustRightInd/>
        <w:snapToGrid/>
        <w:spacing w:line="240" w:lineRule="auto"/>
        <w:ind w:firstLine="632" w:firstLineChars="200"/>
        <w:jc w:val="left"/>
        <w:rPr>
          <w:rFonts w:hint="default" w:ascii="Times New Roman" w:hAnsi="Times New Roman" w:eastAsia="仿宋_GB2312" w:cs="Times New Roman"/>
          <w:color w:val="auto"/>
          <w:lang w:val="en-US" w:eastAsia="zh-CN"/>
        </w:rPr>
      </w:pPr>
      <w:r>
        <w:rPr>
          <w:rFonts w:hint="default" w:ascii="Times New Roman" w:hAnsi="Times New Roman" w:eastAsia="楷体_GB2312" w:cs="Times New Roman"/>
          <w:b w:val="0"/>
          <w:bCs w:val="0"/>
          <w:color w:val="auto"/>
          <w:kern w:val="0"/>
          <w:sz w:val="32"/>
          <w:szCs w:val="32"/>
          <w:lang w:val="en-US" w:eastAsia="zh-CN"/>
        </w:rPr>
        <w:t>培育</w:t>
      </w:r>
      <w:r>
        <w:rPr>
          <w:rFonts w:hint="eastAsia" w:eastAsia="楷体_GB2312" w:cs="Times New Roman"/>
          <w:b w:val="0"/>
          <w:bCs w:val="0"/>
          <w:color w:val="auto"/>
          <w:kern w:val="0"/>
          <w:sz w:val="32"/>
          <w:szCs w:val="32"/>
          <w:lang w:val="en-US" w:eastAsia="zh-CN"/>
        </w:rPr>
        <w:t>“</w:t>
      </w:r>
      <w:r>
        <w:rPr>
          <w:rFonts w:hint="default" w:ascii="Times New Roman" w:hAnsi="Times New Roman" w:eastAsia="楷体_GB2312" w:cs="Times New Roman"/>
          <w:b w:val="0"/>
          <w:bCs w:val="0"/>
          <w:color w:val="auto"/>
          <w:kern w:val="0"/>
          <w:sz w:val="32"/>
          <w:szCs w:val="32"/>
          <w:lang w:val="en-US" w:eastAsia="zh-CN"/>
        </w:rPr>
        <w:t>养老+</w:t>
      </w:r>
      <w:r>
        <w:rPr>
          <w:rFonts w:hint="eastAsia" w:eastAsia="楷体_GB2312" w:cs="Times New Roman"/>
          <w:b w:val="0"/>
          <w:bCs w:val="0"/>
          <w:color w:val="auto"/>
          <w:kern w:val="0"/>
          <w:sz w:val="32"/>
          <w:szCs w:val="32"/>
          <w:lang w:val="en-US" w:eastAsia="zh-CN"/>
        </w:rPr>
        <w:t>”</w:t>
      </w:r>
      <w:r>
        <w:rPr>
          <w:rFonts w:hint="default" w:ascii="Times New Roman" w:hAnsi="Times New Roman" w:eastAsia="楷体_GB2312" w:cs="Times New Roman"/>
          <w:b w:val="0"/>
          <w:bCs w:val="0"/>
          <w:color w:val="auto"/>
          <w:kern w:val="0"/>
          <w:sz w:val="32"/>
          <w:szCs w:val="32"/>
          <w:lang w:val="en-US" w:eastAsia="zh-CN"/>
        </w:rPr>
        <w:t>消费市场。</w:t>
      </w:r>
      <w:r>
        <w:rPr>
          <w:rFonts w:hint="default" w:ascii="Times New Roman" w:hAnsi="Times New Roman" w:eastAsia="仿宋_GB2312" w:cs="Times New Roman"/>
          <w:color w:val="auto"/>
          <w:lang w:val="en-US" w:eastAsia="zh-CN"/>
        </w:rPr>
        <w:t>推动养老服务与医疗、文化、旅游、教育、金融等产业深度融合。强化老年用品创新，加强服装面料、款式结构、辅助装置等适老化研发设计，开发功能性老年服饰、鞋帽产品；鼓励研发适合老年人咀嚼吞咽和营养要求的保健食品、特殊医学用途配方食品。打造智慧健康养老新业态，建立完善智慧健康养老产品和服务推广目录，发展健康管理、养老监护、心理慰藉类智能产品，提高老年用品市场供给质量；推广应用智能护理机器人、家庭服务机器人、智能防走失终端等智能设备。拓展旅游服务业态，挖掘兴汉胜境、天台山、天汉湿地公园、皇塘景区等文旅资源，开发康养式、理疗式、旅居式、候鸟式养老服务，策划休闲游、生态游、精品旅居养老等线路，构建康养、游、学、乐、居深度融合的生态旅居养老服务体系。丰富发展养老金融产品，鼓励金融机构开发符合老年人特点的支付、储蓄、理财、信托、保险、基金等养老金融产品。</w:t>
      </w:r>
    </w:p>
    <w:p w14:paraId="4EF286D3">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lang w:val="en-US" w:eastAsia="zh-CN"/>
        </w:rPr>
      </w:pPr>
      <w:r>
        <w:rPr>
          <w:rFonts w:hint="default" w:ascii="Times New Roman" w:hAnsi="Times New Roman" w:eastAsia="楷体_GB2312" w:cs="Times New Roman"/>
          <w:b w:val="0"/>
          <w:bCs w:val="0"/>
          <w:color w:val="auto"/>
          <w:kern w:val="0"/>
          <w:sz w:val="32"/>
          <w:szCs w:val="32"/>
          <w:lang w:val="en-US" w:eastAsia="zh-CN"/>
        </w:rPr>
        <w:t>优化养老服务发展环境。</w:t>
      </w:r>
      <w:r>
        <w:rPr>
          <w:rFonts w:hint="default" w:ascii="Times New Roman" w:hAnsi="Times New Roman" w:eastAsia="仿宋_GB2312" w:cs="Times New Roman"/>
          <w:color w:val="auto"/>
          <w:lang w:val="en-US" w:eastAsia="zh-CN"/>
        </w:rPr>
        <w:t>加强养老人才队伍建设，实施养老护理员职业技能等级认定管理机制。推进适老化环境改造，加大城市道路、公共交通工具、信号灯等设施设备的适老化及无障碍改造，建设便捷安全的无障碍出行环境。提升涉老服务便利化，在医疗卫生、金融服务、政务服务、交通出行、文化旅游等行业服务场所，保留人工窗口和志愿服务岗，为老年人提供便利。加强老年人权益保护，开展符合老年人认知特点的普法宣传教育，提高老年人识别和防范非法集资、电信诈骗等风险的意识和能力，严厉打击侵害老年人合法权益的违法行为。</w:t>
      </w:r>
    </w:p>
    <w:tbl>
      <w:tblPr>
        <w:tblStyle w:val="15"/>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0"/>
      </w:tblGrid>
      <w:tr w14:paraId="2C1B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860" w:type="dxa"/>
            <w:noWrap w:val="0"/>
            <w:vAlign w:val="center"/>
          </w:tcPr>
          <w:p w14:paraId="2F0506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专栏2-5  银发经济重点工程</w:t>
            </w:r>
          </w:p>
        </w:tc>
      </w:tr>
      <w:tr w14:paraId="0649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60" w:type="dxa"/>
            <w:noWrap w:val="0"/>
            <w:vAlign w:val="top"/>
          </w:tcPr>
          <w:p w14:paraId="703875BD">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重点建设汉台区银发经济产业园</w:t>
            </w:r>
            <w:r>
              <w:rPr>
                <w:rFonts w:hint="default" w:ascii="Times New Roman" w:hAnsi="Times New Roman" w:cs="Times New Roman"/>
                <w:b w:val="0"/>
                <w:bCs w:val="0"/>
                <w:color w:val="auto"/>
                <w:spacing w:val="0"/>
                <w:kern w:val="2"/>
                <w:sz w:val="24"/>
                <w:szCs w:val="24"/>
                <w:vertAlign w:val="baseline"/>
                <w:lang w:val="en-US" w:eastAsia="zh-CN" w:bidi="ar-SA"/>
              </w:rPr>
              <w:t>、汉中市老年病医院、城东医养综合体（失能失智老人管护院）、东方老年公寓、白天鹅老年公寓托养中心、康乐园二期、康养助残智造等项目。</w:t>
            </w:r>
          </w:p>
        </w:tc>
      </w:tr>
    </w:tbl>
    <w:p w14:paraId="177F8EBC">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57" w:name="_Toc29569"/>
      <w:r>
        <w:rPr>
          <w:rFonts w:hint="default" w:ascii="Times New Roman" w:hAnsi="Times New Roman" w:eastAsia="黑体" w:cs="Times New Roman"/>
          <w:b w:val="0"/>
          <w:bCs/>
          <w:color w:val="auto"/>
          <w:sz w:val="32"/>
          <w:szCs w:val="32"/>
          <w:lang w:val="en-US" w:eastAsia="zh-CN"/>
        </w:rPr>
        <w:t>五、加快发展现代物流业</w:t>
      </w:r>
      <w:bookmarkEnd w:id="56"/>
      <w:bookmarkEnd w:id="57"/>
    </w:p>
    <w:p w14:paraId="2E8D2D0F">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kern w:val="0"/>
          <w:szCs w:val="32"/>
          <w:lang w:val="en-US" w:eastAsia="zh-CN"/>
        </w:rPr>
      </w:pPr>
      <w:r>
        <w:rPr>
          <w:rFonts w:hint="default" w:ascii="Times New Roman" w:hAnsi="Times New Roman" w:eastAsia="楷体_GB2312" w:cs="Times New Roman"/>
          <w:b w:val="0"/>
          <w:bCs w:val="0"/>
          <w:color w:val="auto"/>
          <w:kern w:val="0"/>
          <w:sz w:val="32"/>
          <w:szCs w:val="32"/>
          <w:lang w:val="en-US" w:eastAsia="zh-CN"/>
        </w:rPr>
        <w:t>完善物流服务体系。</w:t>
      </w:r>
      <w:r>
        <w:rPr>
          <w:rFonts w:hint="default" w:ascii="Times New Roman" w:hAnsi="Times New Roman" w:cs="Times New Roman"/>
          <w:color w:val="auto"/>
          <w:szCs w:val="32"/>
          <w:lang w:val="en-US" w:eastAsia="zh-CN"/>
        </w:rPr>
        <w:t>发挥贯通南北、连接东西的枢纽优势，</w:t>
      </w:r>
      <w:r>
        <w:rPr>
          <w:rFonts w:hint="default" w:ascii="Times New Roman" w:hAnsi="Times New Roman" w:cs="Times New Roman"/>
          <w:color w:val="auto"/>
          <w:kern w:val="0"/>
          <w:szCs w:val="32"/>
        </w:rPr>
        <w:t>提升褒河物流园区建设水平，</w:t>
      </w:r>
      <w:r>
        <w:rPr>
          <w:rFonts w:hint="default" w:ascii="Times New Roman" w:hAnsi="Times New Roman" w:cs="Times New Roman"/>
          <w:color w:val="auto"/>
        </w:rPr>
        <w:t>科学集约布局建设大型仓储物流设施，</w:t>
      </w:r>
      <w:r>
        <w:rPr>
          <w:rFonts w:hint="default" w:ascii="Times New Roman" w:hAnsi="Times New Roman" w:cs="Times New Roman"/>
          <w:color w:val="auto"/>
          <w:kern w:val="0"/>
          <w:szCs w:val="32"/>
        </w:rPr>
        <w:t>培育</w:t>
      </w:r>
      <w:r>
        <w:rPr>
          <w:rFonts w:hint="default" w:ascii="Times New Roman" w:hAnsi="Times New Roman" w:cs="Times New Roman"/>
          <w:color w:val="auto"/>
          <w:kern w:val="0"/>
          <w:szCs w:val="32"/>
          <w:lang w:val="en-US" w:eastAsia="zh-CN"/>
        </w:rPr>
        <w:t>招引</w:t>
      </w:r>
      <w:r>
        <w:rPr>
          <w:rFonts w:hint="default" w:ascii="Times New Roman" w:hAnsi="Times New Roman" w:cs="Times New Roman"/>
          <w:color w:val="auto"/>
          <w:kern w:val="0"/>
          <w:szCs w:val="32"/>
        </w:rPr>
        <w:t>第三方物流企业，</w:t>
      </w:r>
      <w:r>
        <w:rPr>
          <w:rFonts w:hint="default" w:ascii="Times New Roman" w:hAnsi="Times New Roman" w:eastAsia="仿宋_GB2312" w:cs="Times New Roman"/>
          <w:color w:val="auto"/>
          <w:sz w:val="32"/>
          <w:szCs w:val="32"/>
        </w:rPr>
        <w:t>构建以物流园区为核心、物流配送中心为基础、城乡一体物流配送点延伸的现代物流体系</w:t>
      </w:r>
      <w:r>
        <w:rPr>
          <w:rFonts w:hint="default" w:ascii="Times New Roman" w:hAnsi="Times New Roman" w:cs="Times New Roman"/>
          <w:color w:val="auto"/>
          <w:kern w:val="0"/>
          <w:szCs w:val="32"/>
          <w:lang w:eastAsia="zh-CN"/>
        </w:rPr>
        <w:t>，</w:t>
      </w:r>
      <w:r>
        <w:rPr>
          <w:rFonts w:hint="default" w:ascii="Times New Roman" w:hAnsi="Times New Roman" w:cs="Times New Roman"/>
          <w:color w:val="auto"/>
          <w:kern w:val="0"/>
          <w:szCs w:val="32"/>
        </w:rPr>
        <w:t>打造陕甘川毗邻地区最大物流集散</w:t>
      </w:r>
      <w:r>
        <w:rPr>
          <w:rFonts w:hint="default" w:ascii="Times New Roman" w:hAnsi="Times New Roman" w:cs="Times New Roman"/>
          <w:color w:val="auto"/>
          <w:kern w:val="0"/>
          <w:szCs w:val="32"/>
          <w:lang w:val="en-US" w:eastAsia="zh-CN"/>
        </w:rPr>
        <w:t>地</w:t>
      </w:r>
      <w:r>
        <w:rPr>
          <w:rFonts w:hint="default" w:ascii="Times New Roman" w:hAnsi="Times New Roman" w:cs="Times New Roman"/>
          <w:color w:val="auto"/>
          <w:kern w:val="0"/>
          <w:szCs w:val="32"/>
        </w:rPr>
        <w:t>。</w:t>
      </w:r>
      <w:r>
        <w:rPr>
          <w:rFonts w:hint="default" w:ascii="Times New Roman" w:hAnsi="Times New Roman" w:cs="Times New Roman"/>
          <w:color w:val="auto"/>
          <w:kern w:val="0"/>
          <w:szCs w:val="32"/>
          <w:lang w:val="en-US" w:eastAsia="zh-CN"/>
        </w:rPr>
        <w:t>到2030年，实现现代物流业综合收入35亿元。</w:t>
      </w:r>
    </w:p>
    <w:p w14:paraId="767986FD">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kern w:val="0"/>
          <w:szCs w:val="32"/>
        </w:rPr>
      </w:pPr>
      <w:r>
        <w:rPr>
          <w:rFonts w:hint="default" w:ascii="Times New Roman" w:hAnsi="Times New Roman" w:eastAsia="楷体_GB2312" w:cs="Times New Roman"/>
          <w:b w:val="0"/>
          <w:bCs w:val="0"/>
          <w:color w:val="auto"/>
          <w:kern w:val="0"/>
          <w:sz w:val="32"/>
          <w:szCs w:val="32"/>
          <w:lang w:val="en-US" w:eastAsia="zh-CN"/>
        </w:rPr>
        <w:t>提升智慧物流水平。</w:t>
      </w:r>
      <w:r>
        <w:rPr>
          <w:rFonts w:hint="default" w:ascii="Times New Roman" w:hAnsi="Times New Roman" w:cs="Times New Roman"/>
          <w:color w:val="auto"/>
        </w:rPr>
        <w:t>发展</w:t>
      </w:r>
      <w:r>
        <w:rPr>
          <w:rFonts w:hint="eastAsia" w:cs="Times New Roman"/>
          <w:color w:val="auto"/>
          <w:lang w:eastAsia="zh-CN"/>
        </w:rPr>
        <w:t>“</w:t>
      </w:r>
      <w:r>
        <w:rPr>
          <w:rFonts w:hint="default" w:ascii="Times New Roman" w:hAnsi="Times New Roman" w:cs="Times New Roman"/>
          <w:color w:val="auto"/>
        </w:rPr>
        <w:t>人工智能+现代物流</w:t>
      </w:r>
      <w:r>
        <w:rPr>
          <w:rFonts w:hint="eastAsia" w:cs="Times New Roman"/>
          <w:color w:val="auto"/>
          <w:lang w:eastAsia="zh-CN"/>
        </w:rPr>
        <w:t>”</w:t>
      </w:r>
      <w:r>
        <w:rPr>
          <w:rFonts w:hint="default" w:ascii="Times New Roman" w:hAnsi="Times New Roman" w:cs="Times New Roman"/>
          <w:color w:val="auto"/>
        </w:rPr>
        <w:t>。推进传统物流基础设施数字化改造</w:t>
      </w:r>
      <w:r>
        <w:rPr>
          <w:rFonts w:hint="default" w:ascii="Times New Roman" w:hAnsi="Times New Roman" w:cs="Times New Roman"/>
          <w:color w:val="auto"/>
          <w:lang w:eastAsia="zh-CN"/>
        </w:rPr>
        <w:t>，</w:t>
      </w:r>
      <w:r>
        <w:rPr>
          <w:rFonts w:hint="default" w:ascii="Times New Roman" w:hAnsi="Times New Roman" w:cs="Times New Roman"/>
          <w:color w:val="auto"/>
          <w:kern w:val="0"/>
          <w:szCs w:val="32"/>
        </w:rPr>
        <w:t>优化物流企业供应链，建立以物流配送中心和高效信息管理为支撑的</w:t>
      </w:r>
      <w:r>
        <w:rPr>
          <w:rFonts w:hint="eastAsia" w:cs="Times New Roman"/>
          <w:color w:val="auto"/>
          <w:kern w:val="0"/>
          <w:szCs w:val="32"/>
          <w:lang w:eastAsia="zh-CN"/>
        </w:rPr>
        <w:t>“</w:t>
      </w:r>
      <w:r>
        <w:rPr>
          <w:rFonts w:hint="default" w:ascii="Times New Roman" w:hAnsi="Times New Roman" w:cs="Times New Roman"/>
          <w:color w:val="auto"/>
          <w:kern w:val="0"/>
          <w:szCs w:val="32"/>
        </w:rPr>
        <w:t>电子商务+物流</w:t>
      </w:r>
      <w:r>
        <w:rPr>
          <w:rFonts w:hint="eastAsia" w:cs="Times New Roman"/>
          <w:color w:val="auto"/>
          <w:kern w:val="0"/>
          <w:szCs w:val="32"/>
          <w:lang w:eastAsia="zh-CN"/>
        </w:rPr>
        <w:t>”</w:t>
      </w:r>
      <w:r>
        <w:rPr>
          <w:rFonts w:hint="default" w:ascii="Times New Roman" w:hAnsi="Times New Roman" w:cs="Times New Roman"/>
          <w:color w:val="auto"/>
          <w:kern w:val="0"/>
          <w:szCs w:val="32"/>
        </w:rPr>
        <w:t>基地。推行</w:t>
      </w:r>
      <w:r>
        <w:rPr>
          <w:rFonts w:hint="eastAsia" w:cs="Times New Roman"/>
          <w:color w:val="auto"/>
          <w:kern w:val="0"/>
          <w:szCs w:val="32"/>
          <w:lang w:eastAsia="zh-CN"/>
        </w:rPr>
        <w:t>“</w:t>
      </w:r>
      <w:r>
        <w:rPr>
          <w:rFonts w:hint="default" w:ascii="Times New Roman" w:hAnsi="Times New Roman" w:cs="Times New Roman"/>
          <w:color w:val="auto"/>
          <w:kern w:val="0"/>
          <w:szCs w:val="32"/>
        </w:rPr>
        <w:t>实体经济+电子商务+现代物流</w:t>
      </w:r>
      <w:r>
        <w:rPr>
          <w:rFonts w:hint="eastAsia" w:cs="Times New Roman"/>
          <w:color w:val="auto"/>
          <w:kern w:val="0"/>
          <w:szCs w:val="32"/>
          <w:lang w:eastAsia="zh-CN"/>
        </w:rPr>
        <w:t>”</w:t>
      </w:r>
      <w:r>
        <w:rPr>
          <w:rFonts w:hint="default" w:ascii="Times New Roman" w:hAnsi="Times New Roman" w:cs="Times New Roman"/>
          <w:color w:val="auto"/>
          <w:kern w:val="0"/>
          <w:szCs w:val="32"/>
        </w:rPr>
        <w:t>发展模式。鼓励发展共同配送、统一配送、集中配送、分时配送等集约化配送新业态。</w:t>
      </w:r>
    </w:p>
    <w:p w14:paraId="42EC69BE">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kern w:val="0"/>
          <w:szCs w:val="32"/>
        </w:rPr>
      </w:pPr>
      <w:r>
        <w:rPr>
          <w:rFonts w:hint="default" w:ascii="Times New Roman" w:hAnsi="Times New Roman" w:eastAsia="楷体_GB2312" w:cs="Times New Roman"/>
          <w:b w:val="0"/>
          <w:bCs w:val="0"/>
          <w:color w:val="auto"/>
          <w:kern w:val="0"/>
          <w:sz w:val="32"/>
          <w:szCs w:val="32"/>
          <w:lang w:val="en-US" w:eastAsia="zh-CN"/>
        </w:rPr>
        <w:t>发展专业物流服务。</w:t>
      </w:r>
      <w:r>
        <w:rPr>
          <w:rFonts w:hint="default" w:ascii="Times New Roman" w:hAnsi="Times New Roman" w:cs="Times New Roman"/>
          <w:color w:val="auto"/>
          <w:kern w:val="0"/>
          <w:szCs w:val="32"/>
        </w:rPr>
        <w:t>稳步推进</w:t>
      </w:r>
      <w:r>
        <w:rPr>
          <w:rFonts w:hint="eastAsia" w:cs="Times New Roman"/>
          <w:color w:val="auto"/>
          <w:kern w:val="0"/>
          <w:szCs w:val="32"/>
          <w:lang w:eastAsia="zh-CN"/>
        </w:rPr>
        <w:t>“</w:t>
      </w:r>
      <w:r>
        <w:rPr>
          <w:rFonts w:hint="default" w:ascii="Times New Roman" w:hAnsi="Times New Roman" w:cs="Times New Roman"/>
          <w:color w:val="auto"/>
          <w:kern w:val="0"/>
          <w:szCs w:val="32"/>
        </w:rPr>
        <w:t>平急两用</w:t>
      </w:r>
      <w:r>
        <w:rPr>
          <w:rFonts w:hint="eastAsia" w:cs="Times New Roman"/>
          <w:color w:val="auto"/>
          <w:kern w:val="0"/>
          <w:szCs w:val="32"/>
          <w:lang w:eastAsia="zh-CN"/>
        </w:rPr>
        <w:t>”</w:t>
      </w:r>
      <w:r>
        <w:rPr>
          <w:rFonts w:hint="default" w:ascii="Times New Roman" w:hAnsi="Times New Roman" w:cs="Times New Roman"/>
          <w:color w:val="auto"/>
          <w:kern w:val="0"/>
          <w:szCs w:val="32"/>
        </w:rPr>
        <w:t>公共基础设施建设，突出发展城市配送，鼓励和支持企业联合建立生鲜配送中心，发展以仓储和配送鲜活农产品、果蔬等为主的农产品冷链物流。</w:t>
      </w:r>
    </w:p>
    <w:p w14:paraId="11400AEA">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kern w:val="0"/>
          <w:szCs w:val="32"/>
          <w:lang w:eastAsia="zh-CN"/>
        </w:rPr>
      </w:pPr>
      <w:r>
        <w:rPr>
          <w:rFonts w:hint="default" w:ascii="Times New Roman" w:hAnsi="Times New Roman" w:eastAsia="楷体_GB2312" w:cs="Times New Roman"/>
          <w:b w:val="0"/>
          <w:bCs w:val="0"/>
          <w:color w:val="auto"/>
          <w:kern w:val="0"/>
          <w:sz w:val="32"/>
          <w:szCs w:val="32"/>
          <w:lang w:val="en-US" w:eastAsia="zh-CN"/>
        </w:rPr>
        <w:t>培育新型物流业态。</w:t>
      </w:r>
      <w:r>
        <w:rPr>
          <w:rFonts w:hint="default" w:ascii="Times New Roman" w:hAnsi="Times New Roman" w:cs="Times New Roman"/>
          <w:color w:val="auto"/>
          <w:kern w:val="0"/>
          <w:szCs w:val="32"/>
        </w:rPr>
        <w:t>积极发展保税物流、</w:t>
      </w:r>
      <w:r>
        <w:rPr>
          <w:rFonts w:hint="eastAsia" w:cs="Times New Roman"/>
          <w:color w:val="auto"/>
          <w:kern w:val="0"/>
          <w:szCs w:val="32"/>
          <w:lang w:eastAsia="zh-CN"/>
        </w:rPr>
        <w:t>“</w:t>
      </w:r>
      <w:r>
        <w:rPr>
          <w:rFonts w:hint="default" w:ascii="Times New Roman" w:hAnsi="Times New Roman" w:cs="Times New Roman"/>
          <w:color w:val="auto"/>
          <w:kern w:val="0"/>
          <w:szCs w:val="32"/>
        </w:rPr>
        <w:t>人工智能+现代物流</w:t>
      </w:r>
      <w:r>
        <w:rPr>
          <w:rFonts w:hint="eastAsia" w:cs="Times New Roman"/>
          <w:color w:val="auto"/>
          <w:kern w:val="0"/>
          <w:szCs w:val="32"/>
          <w:lang w:eastAsia="zh-CN"/>
        </w:rPr>
        <w:t>”</w:t>
      </w:r>
      <w:r>
        <w:rPr>
          <w:rFonts w:hint="default" w:ascii="Times New Roman" w:hAnsi="Times New Roman" w:cs="Times New Roman"/>
          <w:color w:val="auto"/>
          <w:kern w:val="0"/>
          <w:szCs w:val="32"/>
        </w:rPr>
        <w:t>，鼓励发展与平台经济、无人驾驶等相结合的物流新模式，构建现代物流产业链和生态链</w:t>
      </w:r>
      <w:r>
        <w:rPr>
          <w:rFonts w:hint="default" w:ascii="Times New Roman" w:hAnsi="Times New Roman" w:cs="Times New Roman"/>
          <w:color w:val="auto"/>
          <w:kern w:val="0"/>
          <w:szCs w:val="32"/>
          <w:lang w:eastAsia="zh-CN"/>
        </w:rPr>
        <w:t>。</w:t>
      </w:r>
    </w:p>
    <w:p w14:paraId="1E279598">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kern w:val="0"/>
          <w:szCs w:val="32"/>
        </w:rPr>
      </w:pPr>
      <w:r>
        <w:rPr>
          <w:rFonts w:hint="default" w:ascii="Times New Roman" w:hAnsi="Times New Roman" w:eastAsia="楷体_GB2312" w:cs="Times New Roman"/>
          <w:b w:val="0"/>
          <w:bCs w:val="0"/>
          <w:color w:val="auto"/>
          <w:kern w:val="0"/>
          <w:sz w:val="32"/>
          <w:szCs w:val="32"/>
          <w:lang w:val="en-US" w:eastAsia="zh-CN"/>
        </w:rPr>
        <w:t>提高快递服务质效。</w:t>
      </w:r>
      <w:r>
        <w:rPr>
          <w:rFonts w:hint="default" w:ascii="Times New Roman" w:hAnsi="Times New Roman" w:cs="Times New Roman"/>
          <w:color w:val="auto"/>
          <w:kern w:val="0"/>
          <w:szCs w:val="32"/>
        </w:rPr>
        <w:t>积极对接航空、高铁运配，吸引电商平台和快递物流企业在汉台布局区域物流集散中心、高层级仓储配送中心，发展壮大城市仓、云仓、无界工厂。鼓励快递网点向农村延伸，支持物流企业、新型农业经营主体与连锁超市、快递网点和社区直接对接，发展直销型、联盟型农村物流配送服务。</w:t>
      </w:r>
    </w:p>
    <w:tbl>
      <w:tblPr>
        <w:tblStyle w:val="15"/>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0"/>
      </w:tblGrid>
      <w:tr w14:paraId="6541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860" w:type="dxa"/>
            <w:noWrap w:val="0"/>
            <w:vAlign w:val="center"/>
          </w:tcPr>
          <w:p w14:paraId="595C57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专栏2-6  现代物流业重点工程</w:t>
            </w:r>
          </w:p>
        </w:tc>
      </w:tr>
      <w:tr w14:paraId="2B02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60" w:type="dxa"/>
            <w:noWrap w:val="0"/>
            <w:vAlign w:val="top"/>
          </w:tcPr>
          <w:p w14:paraId="54075C6B">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cs="Times New Roman"/>
                <w:b w:val="0"/>
                <w:bCs w:val="0"/>
                <w:color w:val="auto"/>
                <w:spacing w:val="0"/>
                <w:kern w:val="2"/>
                <w:sz w:val="24"/>
                <w:szCs w:val="24"/>
                <w:vertAlign w:val="baseline"/>
                <w:lang w:val="en-US" w:eastAsia="zh-CN" w:bidi="ar-SA"/>
              </w:rPr>
              <w:t>重点建设</w:t>
            </w:r>
            <w:r>
              <w:rPr>
                <w:rFonts w:hint="default" w:ascii="Times New Roman" w:hAnsi="Times New Roman" w:eastAsia="仿宋_GB2312" w:cs="Times New Roman"/>
                <w:b w:val="0"/>
                <w:bCs w:val="0"/>
                <w:color w:val="auto"/>
                <w:spacing w:val="0"/>
                <w:kern w:val="2"/>
                <w:sz w:val="24"/>
                <w:szCs w:val="24"/>
                <w:vertAlign w:val="baseline"/>
                <w:lang w:val="en-US" w:eastAsia="zh-CN" w:bidi="ar-SA"/>
              </w:rPr>
              <w:t>汉台区寄递物流站点</w:t>
            </w:r>
            <w:r>
              <w:rPr>
                <w:rFonts w:hint="default" w:ascii="Times New Roman" w:hAnsi="Times New Roman" w:cs="Times New Roman"/>
                <w:b w:val="0"/>
                <w:bCs w:val="0"/>
                <w:color w:val="auto"/>
                <w:spacing w:val="0"/>
                <w:kern w:val="2"/>
                <w:sz w:val="24"/>
                <w:szCs w:val="24"/>
                <w:vertAlign w:val="baseline"/>
                <w:lang w:val="en-US" w:eastAsia="zh-CN" w:bidi="ar-SA"/>
              </w:rPr>
              <w:t>、陕南医药冷链物流中心、陕南智慧电商产业物流园、陕甘川渝农产品冷链物流一体化集散中心、汉中市应急救援冷链物流中心、中国邮政集团汉中电商物流仓配一体化分拨中心、汉台区城西农超冷链物流中心、汉台区物流基础设施数字化升级示范、鑫龙钢铁物流产业园、京东云仓供应链基地、陕南粮油物流中心等项目。</w:t>
            </w:r>
          </w:p>
        </w:tc>
      </w:tr>
    </w:tbl>
    <w:p w14:paraId="30B54CAB">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r>
        <w:rPr>
          <w:rFonts w:hint="default" w:ascii="Times New Roman" w:hAnsi="Times New Roman" w:eastAsia="黑体" w:cs="Times New Roman"/>
          <w:b w:val="0"/>
          <w:bCs/>
          <w:color w:val="auto"/>
          <w:sz w:val="32"/>
          <w:szCs w:val="32"/>
          <w:lang w:val="en-US" w:eastAsia="zh-CN"/>
        </w:rPr>
        <w:t>六、创新发展科技服务业</w:t>
      </w:r>
    </w:p>
    <w:p w14:paraId="7B74E361">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val="0"/>
          <w:color w:val="auto"/>
          <w:kern w:val="0"/>
          <w:sz w:val="32"/>
          <w:szCs w:val="32"/>
          <w:lang w:val="en-US" w:eastAsia="zh-CN"/>
        </w:rPr>
        <w:t>完善科技服务体系。</w:t>
      </w:r>
      <w:r>
        <w:rPr>
          <w:rFonts w:hint="default" w:ascii="Times New Roman" w:hAnsi="Times New Roman" w:cs="Times New Roman"/>
          <w:color w:val="auto"/>
          <w:sz w:val="32"/>
          <w:szCs w:val="32"/>
        </w:rPr>
        <w:t>培育科技中介服务机构，搭建成果转化平台、产权交易平台，加快形成以企业为主体，涵盖科学研究、技术推广、信息交流、科技培训、产权服务、科技评估等于一体的科技服务体系</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到2030年，实现科技服务业收入50亿元。</w:t>
      </w:r>
    </w:p>
    <w:p w14:paraId="518E1512">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 w:val="32"/>
          <w:szCs w:val="32"/>
        </w:rPr>
      </w:pPr>
      <w:r>
        <w:rPr>
          <w:rFonts w:hint="default" w:ascii="Times New Roman" w:hAnsi="Times New Roman" w:eastAsia="楷体_GB2312" w:cs="Times New Roman"/>
          <w:b w:val="0"/>
          <w:bCs w:val="0"/>
          <w:color w:val="auto"/>
          <w:kern w:val="0"/>
          <w:sz w:val="32"/>
          <w:szCs w:val="32"/>
          <w:lang w:val="en-US" w:eastAsia="zh-CN"/>
        </w:rPr>
        <w:t>发展专业技术服务。</w:t>
      </w:r>
      <w:r>
        <w:rPr>
          <w:rFonts w:hint="default" w:ascii="Times New Roman" w:hAnsi="Times New Roman" w:cs="Times New Roman"/>
          <w:color w:val="auto"/>
          <w:sz w:val="32"/>
          <w:szCs w:val="32"/>
          <w:lang w:val="en-US" w:eastAsia="zh-CN"/>
        </w:rPr>
        <w:t>优先</w:t>
      </w:r>
      <w:r>
        <w:rPr>
          <w:rFonts w:hint="default" w:ascii="Times New Roman" w:hAnsi="Times New Roman" w:cs="Times New Roman"/>
          <w:color w:val="auto"/>
          <w:sz w:val="32"/>
          <w:szCs w:val="32"/>
        </w:rPr>
        <w:t>发展以新技术、新产品、新材料、新工艺开发及小试、中试等为主的</w:t>
      </w:r>
      <w:r>
        <w:rPr>
          <w:rFonts w:hint="default" w:ascii="Times New Roman" w:hAnsi="Times New Roman" w:cs="Times New Roman"/>
          <w:color w:val="auto"/>
          <w:sz w:val="32"/>
          <w:szCs w:val="32"/>
          <w:lang w:val="en-US" w:eastAsia="zh-CN"/>
        </w:rPr>
        <w:t>科技</w:t>
      </w:r>
      <w:r>
        <w:rPr>
          <w:rFonts w:hint="default" w:ascii="Times New Roman" w:hAnsi="Times New Roman" w:cs="Times New Roman"/>
          <w:color w:val="auto"/>
          <w:sz w:val="32"/>
          <w:szCs w:val="32"/>
        </w:rPr>
        <w:t>研发服务</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培育发展</w:t>
      </w:r>
      <w:r>
        <w:rPr>
          <w:rFonts w:hint="default" w:ascii="Times New Roman" w:hAnsi="Times New Roman" w:cs="Times New Roman"/>
          <w:color w:val="auto"/>
          <w:sz w:val="32"/>
          <w:szCs w:val="32"/>
        </w:rPr>
        <w:t>以产品设计、工业设计、工程设计</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广告设计、时装设计</w:t>
      </w:r>
      <w:r>
        <w:rPr>
          <w:rFonts w:hint="default" w:ascii="Times New Roman" w:hAnsi="Times New Roman" w:cs="Times New Roman"/>
          <w:color w:val="auto"/>
          <w:sz w:val="32"/>
          <w:szCs w:val="32"/>
        </w:rPr>
        <w:t>等为主的</w:t>
      </w:r>
      <w:r>
        <w:rPr>
          <w:rFonts w:hint="default" w:ascii="Times New Roman" w:hAnsi="Times New Roman" w:cs="Times New Roman"/>
          <w:color w:val="auto"/>
          <w:sz w:val="32"/>
          <w:szCs w:val="32"/>
          <w:lang w:val="en-US" w:eastAsia="zh-CN"/>
        </w:rPr>
        <w:t>创意</w:t>
      </w:r>
      <w:r>
        <w:rPr>
          <w:rFonts w:hint="default" w:ascii="Times New Roman" w:hAnsi="Times New Roman" w:cs="Times New Roman"/>
          <w:color w:val="auto"/>
          <w:sz w:val="32"/>
          <w:szCs w:val="32"/>
        </w:rPr>
        <w:t>设计服务</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加快发展</w:t>
      </w:r>
      <w:r>
        <w:rPr>
          <w:rFonts w:hint="default" w:ascii="Times New Roman" w:hAnsi="Times New Roman" w:cs="Times New Roman"/>
          <w:color w:val="auto"/>
          <w:sz w:val="32"/>
          <w:szCs w:val="32"/>
        </w:rPr>
        <w:t>以大数据、云计算、软件开发等为主的信息技术服务</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积极</w:t>
      </w:r>
      <w:r>
        <w:rPr>
          <w:rFonts w:hint="default" w:ascii="Times New Roman" w:hAnsi="Times New Roman" w:cs="Times New Roman"/>
          <w:color w:val="auto"/>
          <w:sz w:val="32"/>
          <w:szCs w:val="32"/>
        </w:rPr>
        <w:t>发展检验检测</w:t>
      </w:r>
      <w:r>
        <w:rPr>
          <w:rFonts w:hint="default" w:ascii="Times New Roman" w:hAnsi="Times New Roman" w:cs="Times New Roman"/>
          <w:color w:val="auto"/>
          <w:sz w:val="32"/>
          <w:szCs w:val="32"/>
          <w:lang w:val="en-US" w:eastAsia="zh-CN"/>
        </w:rPr>
        <w:t>认证服务</w:t>
      </w:r>
      <w:r>
        <w:rPr>
          <w:rFonts w:hint="default" w:ascii="Times New Roman" w:hAnsi="Times New Roman" w:cs="Times New Roman"/>
          <w:color w:val="auto"/>
          <w:sz w:val="32"/>
          <w:szCs w:val="32"/>
        </w:rPr>
        <w:t>。</w:t>
      </w:r>
    </w:p>
    <w:tbl>
      <w:tblPr>
        <w:tblStyle w:val="15"/>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0"/>
      </w:tblGrid>
      <w:tr w14:paraId="229B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860" w:type="dxa"/>
            <w:noWrap w:val="0"/>
            <w:vAlign w:val="center"/>
          </w:tcPr>
          <w:p w14:paraId="7B4358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专栏2-7  科技服务业重点工程</w:t>
            </w:r>
          </w:p>
        </w:tc>
      </w:tr>
      <w:tr w14:paraId="59F0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60" w:type="dxa"/>
            <w:noWrap w:val="0"/>
            <w:vAlign w:val="top"/>
          </w:tcPr>
          <w:p w14:paraId="333ABE1A">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重点建设陕西汉中航空产业计量中心</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汉台科技创新成果转化加速平台、汉台区综合检验检测中心</w:t>
            </w:r>
            <w:r>
              <w:rPr>
                <w:rFonts w:hint="default" w:ascii="Times New Roman" w:hAnsi="Times New Roman" w:cs="Times New Roman"/>
                <w:b w:val="0"/>
                <w:bCs w:val="0"/>
                <w:color w:val="auto"/>
                <w:spacing w:val="0"/>
                <w:kern w:val="2"/>
                <w:sz w:val="24"/>
                <w:szCs w:val="24"/>
                <w:vertAlign w:val="baseline"/>
                <w:lang w:val="en-US" w:eastAsia="zh-CN" w:bidi="ar-SA"/>
              </w:rPr>
              <w:t>、汉中璟鋐计量检测中心、实验室生态环境及食品检验检测能力提升、节能环保服务咨询平台、公共数据资源评估交易平台等项目。</w:t>
            </w:r>
          </w:p>
        </w:tc>
      </w:tr>
    </w:tbl>
    <w:p w14:paraId="055CA5F9">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58" w:name="_Toc18749"/>
      <w:bookmarkStart w:id="59" w:name="_Toc17970"/>
      <w:bookmarkStart w:id="60" w:name="_Toc31136"/>
      <w:bookmarkStart w:id="61" w:name="_Toc5959"/>
      <w:r>
        <w:rPr>
          <w:rFonts w:hint="default" w:ascii="Times New Roman" w:hAnsi="Times New Roman" w:eastAsia="黑体" w:cs="Times New Roman"/>
          <w:b w:val="0"/>
          <w:bCs/>
          <w:color w:val="auto"/>
          <w:sz w:val="32"/>
          <w:szCs w:val="32"/>
          <w:lang w:val="en-US" w:eastAsia="zh-CN"/>
        </w:rPr>
        <w:t>七、聚集发展现代金融业</w:t>
      </w:r>
      <w:bookmarkEnd w:id="58"/>
      <w:bookmarkEnd w:id="59"/>
    </w:p>
    <w:p w14:paraId="24340C99">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kern w:val="0"/>
          <w:sz w:val="32"/>
          <w:szCs w:val="32"/>
        </w:rPr>
      </w:pPr>
      <w:r>
        <w:rPr>
          <w:rFonts w:hint="default" w:ascii="Times New Roman" w:hAnsi="Times New Roman" w:eastAsia="楷体_GB2312" w:cs="Times New Roman"/>
          <w:b w:val="0"/>
          <w:bCs w:val="0"/>
          <w:color w:val="auto"/>
          <w:kern w:val="0"/>
          <w:sz w:val="32"/>
          <w:szCs w:val="32"/>
          <w:lang w:val="en-US" w:eastAsia="zh-CN"/>
        </w:rPr>
        <w:t>促进金融机构聚集发展。</w:t>
      </w:r>
      <w:r>
        <w:rPr>
          <w:rFonts w:hint="default" w:ascii="Times New Roman" w:hAnsi="Times New Roman" w:cs="Times New Roman"/>
          <w:color w:val="auto"/>
          <w:kern w:val="0"/>
          <w:sz w:val="32"/>
          <w:szCs w:val="32"/>
        </w:rPr>
        <w:t>积极建设区域性金融服务中心，争取国内外知名银行、证券、保险公司在汉台区开设区域总部、地区总部，完善金融服务功能，形成银行、保险、证券、期货、基金等金融机构及资产评估、信用评级等金融中介种类较为齐全的金融服务体系，打造汉中金融商务区。</w:t>
      </w:r>
      <w:r>
        <w:rPr>
          <w:rFonts w:hint="default" w:ascii="Times New Roman" w:hAnsi="Times New Roman" w:cs="Times New Roman"/>
          <w:color w:val="auto"/>
          <w:kern w:val="0"/>
          <w:sz w:val="32"/>
          <w:szCs w:val="32"/>
          <w:lang w:val="en-US" w:eastAsia="zh-CN"/>
        </w:rPr>
        <w:t>到2030年，</w:t>
      </w:r>
      <w:r>
        <w:rPr>
          <w:rFonts w:hint="default" w:ascii="Times New Roman" w:hAnsi="Times New Roman" w:cs="Times New Roman"/>
          <w:color w:val="auto"/>
          <w:kern w:val="0"/>
          <w:sz w:val="32"/>
          <w:szCs w:val="32"/>
        </w:rPr>
        <w:t>力争吸引1-2家国内外金融机构来汉设立区域总部或分支机构。</w:t>
      </w:r>
    </w:p>
    <w:p w14:paraId="2CCAE121">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kern w:val="0"/>
          <w:sz w:val="32"/>
          <w:szCs w:val="32"/>
        </w:rPr>
      </w:pPr>
      <w:r>
        <w:rPr>
          <w:rFonts w:hint="default" w:ascii="Times New Roman" w:hAnsi="Times New Roman" w:eastAsia="楷体_GB2312" w:cs="Times New Roman"/>
          <w:b w:val="0"/>
          <w:bCs w:val="0"/>
          <w:color w:val="auto"/>
          <w:kern w:val="0"/>
          <w:sz w:val="32"/>
          <w:szCs w:val="32"/>
          <w:lang w:val="en-US" w:eastAsia="zh-CN"/>
        </w:rPr>
        <w:t>创新金融产品供给。</w:t>
      </w:r>
      <w:r>
        <w:rPr>
          <w:rFonts w:hint="default" w:ascii="Times New Roman" w:hAnsi="Times New Roman" w:eastAsia="仿宋_GB2312" w:cs="Times New Roman"/>
          <w:color w:val="auto"/>
          <w:kern w:val="0"/>
          <w:sz w:val="32"/>
          <w:szCs w:val="32"/>
          <w:lang w:val="en-US" w:eastAsia="zh-CN" w:bidi="ar"/>
        </w:rPr>
        <w:t>鼓励国有银行、股份制银行等金融机构向上级行争取更多信贷规模，扩大金融对实体经济供给总量。</w:t>
      </w:r>
      <w:r>
        <w:rPr>
          <w:rFonts w:hint="default" w:ascii="Times New Roman" w:hAnsi="Times New Roman" w:cs="Times New Roman"/>
          <w:color w:val="auto"/>
          <w:kern w:val="0"/>
          <w:sz w:val="32"/>
          <w:szCs w:val="32"/>
        </w:rPr>
        <w:t>积极发展供应链金融、金融租赁、天使投资、创业投资等新兴金融业态。鼓励商业银行发起设立村镇银行，鼓励社会民间资本发起设立小额贷款等普惠金融服务机构。发挥政府性融资担保公司作用，建立区级融资担保服务体系。探索创新信贷服务，解决中小微企业融资难问题。拓宽农业保险覆盖领域，提高保险业对</w:t>
      </w:r>
      <w:r>
        <w:rPr>
          <w:rFonts w:hint="eastAsia" w:cs="Times New Roman"/>
          <w:color w:val="auto"/>
          <w:kern w:val="0"/>
          <w:sz w:val="32"/>
          <w:szCs w:val="32"/>
          <w:lang w:eastAsia="zh-CN"/>
        </w:rPr>
        <w:t>“</w:t>
      </w:r>
      <w:r>
        <w:rPr>
          <w:rFonts w:hint="default" w:ascii="Times New Roman" w:hAnsi="Times New Roman" w:cs="Times New Roman"/>
          <w:color w:val="auto"/>
          <w:kern w:val="0"/>
          <w:sz w:val="32"/>
          <w:szCs w:val="32"/>
        </w:rPr>
        <w:t>三农</w:t>
      </w:r>
      <w:r>
        <w:rPr>
          <w:rFonts w:hint="eastAsia" w:cs="Times New Roman"/>
          <w:color w:val="auto"/>
          <w:kern w:val="0"/>
          <w:sz w:val="32"/>
          <w:szCs w:val="32"/>
          <w:lang w:eastAsia="zh-CN"/>
        </w:rPr>
        <w:t>”</w:t>
      </w:r>
      <w:r>
        <w:rPr>
          <w:rFonts w:hint="default" w:ascii="Times New Roman" w:hAnsi="Times New Roman" w:cs="Times New Roman"/>
          <w:color w:val="auto"/>
          <w:kern w:val="0"/>
          <w:sz w:val="32"/>
          <w:szCs w:val="32"/>
        </w:rPr>
        <w:t>的服务能力。</w:t>
      </w:r>
    </w:p>
    <w:p w14:paraId="0BD50DB5">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kern w:val="0"/>
          <w:sz w:val="32"/>
          <w:szCs w:val="32"/>
          <w:lang w:val="en-US" w:eastAsia="zh-CN"/>
        </w:rPr>
      </w:pPr>
      <w:r>
        <w:rPr>
          <w:rFonts w:hint="default" w:ascii="Times New Roman" w:hAnsi="Times New Roman" w:eastAsia="楷体_GB2312" w:cs="Times New Roman"/>
          <w:b w:val="0"/>
          <w:bCs w:val="0"/>
          <w:color w:val="auto"/>
          <w:kern w:val="0"/>
          <w:sz w:val="32"/>
          <w:szCs w:val="32"/>
          <w:lang w:val="en-US" w:eastAsia="zh-CN"/>
        </w:rPr>
        <w:t>拓宽企业融资渠道。</w:t>
      </w:r>
      <w:r>
        <w:rPr>
          <w:rFonts w:hint="default" w:ascii="Times New Roman" w:hAnsi="Times New Roman" w:cs="Times New Roman"/>
          <w:color w:val="auto"/>
          <w:kern w:val="0"/>
          <w:sz w:val="32"/>
          <w:szCs w:val="32"/>
          <w:lang w:val="en-US" w:eastAsia="zh-CN"/>
        </w:rPr>
        <w:t>做好企业上市、挂牌以及后备资源培育工作，积极扶持科创企业在科创板块上市。支持企业通过股权、债券、基金等多种方式融资，鼓励发展重点领域建设投资基金。</w:t>
      </w:r>
    </w:p>
    <w:p w14:paraId="4B8AB362">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r>
        <w:rPr>
          <w:rFonts w:hint="default" w:ascii="Times New Roman" w:hAnsi="Times New Roman" w:eastAsia="黑体" w:cs="Times New Roman"/>
          <w:b w:val="0"/>
          <w:bCs/>
          <w:color w:val="auto"/>
          <w:sz w:val="32"/>
          <w:szCs w:val="32"/>
          <w:lang w:val="en-US" w:eastAsia="zh-CN"/>
        </w:rPr>
        <w:t>八、鼓励发展商务服务业</w:t>
      </w:r>
      <w:bookmarkEnd w:id="60"/>
      <w:bookmarkEnd w:id="61"/>
    </w:p>
    <w:p w14:paraId="1791E263">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 w:val="32"/>
          <w:szCs w:val="32"/>
          <w:lang w:val="en-US" w:eastAsia="zh-CN"/>
        </w:rPr>
      </w:pPr>
      <w:r>
        <w:rPr>
          <w:rFonts w:hint="default" w:ascii="Times New Roman" w:hAnsi="Times New Roman" w:eastAsia="楷体_GB2312" w:cs="Times New Roman"/>
          <w:b w:val="0"/>
          <w:bCs w:val="0"/>
          <w:color w:val="auto"/>
          <w:kern w:val="0"/>
          <w:sz w:val="32"/>
          <w:szCs w:val="32"/>
          <w:lang w:val="en-US" w:eastAsia="zh-CN"/>
        </w:rPr>
        <w:t>大力发展会展经济。</w:t>
      </w:r>
      <w:r>
        <w:rPr>
          <w:rFonts w:hint="default" w:ascii="Times New Roman" w:hAnsi="Times New Roman" w:cs="Times New Roman"/>
          <w:color w:val="auto"/>
          <w:sz w:val="32"/>
          <w:szCs w:val="32"/>
          <w:lang w:val="en-US" w:eastAsia="zh-CN"/>
        </w:rPr>
        <w:t>将汉台打造为全市承办重大会议、展览展示、文化交流等活动的主承载区。依托天汉楼广场、天汉大剧院、吾悦广场等场地资源，打造</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天汉车展</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会展品牌；用好古汉台、拜将坛、饮马池、兴汉胜境等文旅资源，打造</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汉文化博览会</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品牌；主动承接西安、成都、重庆等区域展会资源，举办陕甘川毗邻地区高品质商品交易会，打造汉服、茶叶、藤编等</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汉中名特优新+非遗</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特色展会。培育2家以上省内具有较强竞争力的会展集团公司，不断提升会展经济效益，力争</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十五五</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期间累计交易额突破10亿元</w:t>
      </w:r>
      <w:r>
        <w:rPr>
          <w:rFonts w:hint="default" w:ascii="Times New Roman" w:hAnsi="Times New Roman" w:eastAsia="仿宋_GB2312" w:cs="Times New Roman"/>
          <w:b w:val="0"/>
          <w:bCs w:val="0"/>
          <w:color w:val="auto"/>
          <w:sz w:val="32"/>
          <w:szCs w:val="32"/>
          <w:lang w:val="en-US" w:eastAsia="zh-CN"/>
        </w:rPr>
        <w:t>。</w:t>
      </w:r>
    </w:p>
    <w:p w14:paraId="72446654">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 w:val="32"/>
          <w:szCs w:val="32"/>
        </w:rPr>
      </w:pPr>
      <w:r>
        <w:rPr>
          <w:rFonts w:hint="default" w:ascii="Times New Roman" w:hAnsi="Times New Roman" w:eastAsia="楷体_GB2312" w:cs="Times New Roman"/>
          <w:b w:val="0"/>
          <w:bCs w:val="0"/>
          <w:color w:val="auto"/>
          <w:kern w:val="0"/>
          <w:sz w:val="32"/>
          <w:szCs w:val="32"/>
          <w:lang w:val="en-US" w:eastAsia="zh-CN"/>
        </w:rPr>
        <w:t>完善商务服务业态。</w:t>
      </w:r>
      <w:r>
        <w:rPr>
          <w:rFonts w:hint="default" w:ascii="Times New Roman" w:hAnsi="Times New Roman" w:cs="Times New Roman"/>
          <w:color w:val="auto"/>
          <w:sz w:val="32"/>
          <w:szCs w:val="32"/>
          <w:lang w:val="en-US" w:eastAsia="zh-CN"/>
        </w:rPr>
        <w:t>大力</w:t>
      </w:r>
      <w:r>
        <w:rPr>
          <w:rFonts w:hint="default" w:ascii="Times New Roman" w:hAnsi="Times New Roman" w:cs="Times New Roman"/>
          <w:color w:val="auto"/>
          <w:sz w:val="32"/>
          <w:szCs w:val="32"/>
        </w:rPr>
        <w:t>发展广告、咨询、法律、会计、审计等</w:t>
      </w:r>
      <w:r>
        <w:rPr>
          <w:rFonts w:hint="default" w:ascii="Times New Roman" w:hAnsi="Times New Roman" w:cs="Times New Roman"/>
          <w:color w:val="auto"/>
          <w:sz w:val="32"/>
          <w:szCs w:val="32"/>
          <w:lang w:val="en-US" w:eastAsia="zh-CN"/>
        </w:rPr>
        <w:t>专业</w:t>
      </w:r>
      <w:r>
        <w:rPr>
          <w:rFonts w:hint="default" w:ascii="Times New Roman" w:hAnsi="Times New Roman" w:cs="Times New Roman"/>
          <w:color w:val="auto"/>
          <w:sz w:val="32"/>
          <w:szCs w:val="32"/>
        </w:rPr>
        <w:t>商务服务，</w:t>
      </w:r>
      <w:r>
        <w:rPr>
          <w:rFonts w:hint="default" w:ascii="Times New Roman" w:hAnsi="Times New Roman" w:cs="Times New Roman"/>
          <w:color w:val="auto"/>
          <w:sz w:val="32"/>
          <w:szCs w:val="32"/>
          <w:lang w:val="en-US" w:eastAsia="zh-CN"/>
        </w:rPr>
        <w:t>鼓励发展</w:t>
      </w:r>
      <w:r>
        <w:rPr>
          <w:rFonts w:hint="default" w:ascii="Times New Roman" w:hAnsi="Times New Roman" w:cs="Times New Roman"/>
          <w:color w:val="auto"/>
          <w:sz w:val="32"/>
          <w:szCs w:val="32"/>
        </w:rPr>
        <w:t>以战略咨询、管理咨询、工程咨询、信息咨询等</w:t>
      </w:r>
      <w:r>
        <w:rPr>
          <w:rFonts w:hint="default" w:ascii="Times New Roman" w:hAnsi="Times New Roman" w:cs="Times New Roman"/>
          <w:color w:val="auto"/>
          <w:sz w:val="32"/>
          <w:szCs w:val="32"/>
          <w:lang w:val="en-US" w:eastAsia="zh-CN"/>
        </w:rPr>
        <w:t>为主的</w:t>
      </w:r>
      <w:r>
        <w:rPr>
          <w:rFonts w:hint="default" w:ascii="Times New Roman" w:hAnsi="Times New Roman" w:cs="Times New Roman"/>
          <w:color w:val="auto"/>
          <w:sz w:val="32"/>
          <w:szCs w:val="32"/>
        </w:rPr>
        <w:t>咨询</w:t>
      </w:r>
      <w:r>
        <w:rPr>
          <w:rFonts w:hint="default" w:ascii="Times New Roman" w:hAnsi="Times New Roman" w:cs="Times New Roman"/>
          <w:color w:val="auto"/>
          <w:sz w:val="32"/>
          <w:szCs w:val="32"/>
          <w:lang w:val="en-US" w:eastAsia="zh-CN"/>
        </w:rPr>
        <w:t>服务</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积极布局以节能技术服务、碳核算与认证、碳排放权交易为主的减碳服务业。到2030年，实现商务服务收入30亿元以上</w:t>
      </w:r>
      <w:r>
        <w:rPr>
          <w:rFonts w:hint="default" w:ascii="Times New Roman" w:hAnsi="Times New Roman" w:cs="Times New Roman"/>
          <w:color w:val="auto"/>
          <w:sz w:val="32"/>
          <w:szCs w:val="32"/>
        </w:rPr>
        <w:t>。</w:t>
      </w:r>
    </w:p>
    <w:p w14:paraId="3B545276">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rPr>
      </w:pPr>
      <w:r>
        <w:rPr>
          <w:rFonts w:hint="default" w:ascii="Times New Roman" w:hAnsi="Times New Roman" w:eastAsia="楷体_GB2312" w:cs="Times New Roman"/>
          <w:b w:val="0"/>
          <w:bCs w:val="0"/>
          <w:color w:val="auto"/>
          <w:kern w:val="0"/>
          <w:sz w:val="32"/>
          <w:szCs w:val="32"/>
          <w:lang w:val="en-US" w:eastAsia="zh-CN"/>
        </w:rPr>
        <w:t>提升人力资源服务。</w:t>
      </w:r>
      <w:r>
        <w:rPr>
          <w:rFonts w:hint="default" w:ascii="Times New Roman" w:hAnsi="Times New Roman" w:eastAsia="仿宋_GB2312" w:cs="Times New Roman"/>
          <w:color w:val="auto"/>
        </w:rPr>
        <w:t>打造</w:t>
      </w:r>
      <w:r>
        <w:rPr>
          <w:rFonts w:hint="default" w:ascii="Times New Roman" w:hAnsi="Times New Roman" w:cs="Times New Roman"/>
          <w:color w:val="auto"/>
          <w:lang w:eastAsia="zh-CN"/>
        </w:rPr>
        <w:t>集</w:t>
      </w:r>
      <w:r>
        <w:rPr>
          <w:rFonts w:hint="default" w:ascii="Times New Roman" w:hAnsi="Times New Roman" w:eastAsia="仿宋_GB2312" w:cs="Times New Roman"/>
          <w:color w:val="auto"/>
        </w:rPr>
        <w:t>高端人才交流、政务服务、众创服务、人才测评服务等功能于一体的人力资源服务平台，引进培育具有核心产品、成长性好、竞争力强的人力资源服务企业，鼓励发展中小微人力资源服务机构，鼓励用人单位通过人力资源服务引进人才。</w:t>
      </w:r>
    </w:p>
    <w:tbl>
      <w:tblPr>
        <w:tblStyle w:val="15"/>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0"/>
      </w:tblGrid>
      <w:tr w14:paraId="0792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8860" w:type="dxa"/>
            <w:noWrap w:val="0"/>
            <w:vAlign w:val="center"/>
          </w:tcPr>
          <w:p w14:paraId="50658C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专栏2-8  商务服务业重点工程</w:t>
            </w:r>
          </w:p>
        </w:tc>
      </w:tr>
      <w:tr w14:paraId="078E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60" w:type="dxa"/>
            <w:noWrap w:val="0"/>
            <w:vAlign w:val="top"/>
          </w:tcPr>
          <w:p w14:paraId="14A5068D">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cs="Times New Roman"/>
                <w:b w:val="0"/>
                <w:bCs w:val="0"/>
                <w:color w:val="auto"/>
                <w:spacing w:val="0"/>
                <w:kern w:val="2"/>
                <w:sz w:val="24"/>
                <w:szCs w:val="24"/>
                <w:vertAlign w:val="baseline"/>
                <w:lang w:val="en-US" w:eastAsia="zh-CN" w:bidi="ar-SA"/>
              </w:rPr>
              <w:t>重点建设汉江会议会展中心、汉中现代商务服务产业园、</w:t>
            </w:r>
            <w:r>
              <w:rPr>
                <w:rFonts w:hint="default" w:ascii="Times New Roman" w:hAnsi="Times New Roman" w:eastAsia="仿宋_GB2312" w:cs="Times New Roman"/>
                <w:b w:val="0"/>
                <w:bCs w:val="0"/>
                <w:color w:val="auto"/>
                <w:spacing w:val="0"/>
                <w:kern w:val="2"/>
                <w:sz w:val="24"/>
                <w:szCs w:val="24"/>
                <w:vertAlign w:val="baseline"/>
                <w:lang w:val="en-US" w:eastAsia="zh-CN" w:bidi="ar-SA"/>
              </w:rPr>
              <w:t>汉台区外贸综合服务基地</w:t>
            </w:r>
            <w:r>
              <w:rPr>
                <w:rFonts w:hint="default" w:ascii="Times New Roman" w:hAnsi="Times New Roman" w:cs="Times New Roman"/>
                <w:b w:val="0"/>
                <w:bCs w:val="0"/>
                <w:color w:val="auto"/>
                <w:spacing w:val="0"/>
                <w:kern w:val="2"/>
                <w:sz w:val="24"/>
                <w:szCs w:val="24"/>
                <w:vertAlign w:val="baseline"/>
                <w:lang w:val="en-US" w:eastAsia="zh-CN" w:bidi="ar-SA"/>
              </w:rPr>
              <w:t>等项目。</w:t>
            </w:r>
          </w:p>
        </w:tc>
      </w:tr>
    </w:tbl>
    <w:p w14:paraId="57D853E4">
      <w:pPr>
        <w:pStyle w:val="7"/>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62" w:name="_Toc30624"/>
      <w:r>
        <w:rPr>
          <w:rFonts w:hint="default" w:ascii="Times New Roman" w:hAnsi="Times New Roman" w:eastAsia="黑体" w:cs="Times New Roman"/>
          <w:b w:val="0"/>
          <w:bCs/>
          <w:color w:val="auto"/>
          <w:sz w:val="32"/>
          <w:szCs w:val="32"/>
          <w:lang w:val="en-US" w:eastAsia="zh-CN"/>
        </w:rPr>
        <w:t>九、推动发展总部经济</w:t>
      </w:r>
      <w:bookmarkEnd w:id="62"/>
    </w:p>
    <w:p w14:paraId="152B0D9B">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lang w:val="en-US" w:eastAsia="zh-CN"/>
        </w:rPr>
      </w:pPr>
      <w:r>
        <w:rPr>
          <w:rFonts w:hint="default" w:ascii="Times New Roman" w:hAnsi="Times New Roman" w:eastAsia="楷体_GB2312" w:cs="Times New Roman"/>
          <w:b w:val="0"/>
          <w:bCs w:val="0"/>
          <w:color w:val="auto"/>
          <w:kern w:val="0"/>
          <w:sz w:val="32"/>
          <w:szCs w:val="32"/>
          <w:lang w:val="en-US" w:eastAsia="zh-CN"/>
        </w:rPr>
        <w:t>建设区域枢纽型总部基地。</w:t>
      </w:r>
      <w:r>
        <w:rPr>
          <w:rFonts w:hint="default" w:ascii="Times New Roman" w:hAnsi="Times New Roman" w:eastAsia="仿宋_GB2312" w:cs="Times New Roman"/>
          <w:color w:val="auto"/>
          <w:lang w:val="en-US" w:eastAsia="zh-CN"/>
        </w:rPr>
        <w:t>发挥汉台作为</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一带一路</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重要节点城市区位优势，围绕</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枢纽+先进制造</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枢纽+现代服务业</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，以现代物流和跨境电商为发展重点，推动建设总部经济集聚区，大力引进枢纽经济企业总部落户，打造枢纽特色显著的总部经济基地。</w:t>
      </w:r>
    </w:p>
    <w:p w14:paraId="56506850">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lang w:val="en-US" w:eastAsia="zh-CN"/>
        </w:rPr>
      </w:pPr>
      <w:r>
        <w:rPr>
          <w:rFonts w:hint="default" w:ascii="Times New Roman" w:hAnsi="Times New Roman" w:eastAsia="楷体_GB2312" w:cs="Times New Roman"/>
          <w:b w:val="0"/>
          <w:bCs w:val="0"/>
          <w:color w:val="auto"/>
          <w:kern w:val="0"/>
          <w:sz w:val="32"/>
          <w:szCs w:val="32"/>
          <w:lang w:val="en-US" w:eastAsia="zh-CN"/>
        </w:rPr>
        <w:t>建设综合型企业总部基地。</w:t>
      </w:r>
      <w:r>
        <w:rPr>
          <w:rFonts w:hint="default" w:ascii="Times New Roman" w:hAnsi="Times New Roman" w:eastAsia="仿宋_GB2312" w:cs="Times New Roman"/>
          <w:color w:val="auto"/>
          <w:lang w:val="en-US" w:eastAsia="zh-CN"/>
        </w:rPr>
        <w:t>引进和培育区域内有影响力的大型先进制造业、高新技术产业和现代服务业企业总部，以及研发、营销等功能型总部机构，加快研发设计、创业孵化、检验检测认证、知识产权等各类平台型企业及行业协会落地，打造陕南综合型企业总部基地。</w:t>
      </w:r>
    </w:p>
    <w:p w14:paraId="45C667A2">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lang w:val="en-US" w:eastAsia="zh-CN"/>
        </w:rPr>
      </w:pPr>
      <w:r>
        <w:rPr>
          <w:rFonts w:hint="default" w:ascii="Times New Roman" w:hAnsi="Times New Roman" w:eastAsia="楷体_GB2312" w:cs="Times New Roman"/>
          <w:b w:val="0"/>
          <w:bCs w:val="0"/>
          <w:color w:val="auto"/>
          <w:lang w:val="en-US" w:eastAsia="zh-CN"/>
        </w:rPr>
        <w:t>建设功能性总部基地。</w:t>
      </w:r>
      <w:r>
        <w:rPr>
          <w:rFonts w:hint="default" w:ascii="Times New Roman" w:hAnsi="Times New Roman" w:eastAsia="仿宋_GB2312" w:cs="Times New Roman"/>
          <w:color w:val="auto"/>
          <w:lang w:val="en-US" w:eastAsia="zh-CN"/>
        </w:rPr>
        <w:t>主动承接长三角地区产业转移和资源外溢，引进中央直属企业、国内500强在汉台设立区域功能型总部，引进装备制造、航空制造、现代材料、生物医药、数字经济、文化旅游、农业精深加工等产业链龙头企业在汉台设立功能型总部，打造陕西省特色鲜明、影响力强的总部经济汇集地。</w:t>
      </w:r>
    </w:p>
    <w:p w14:paraId="18351BAE">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CESI黑体-GB2312" w:hAnsi="CESI黑体-GB2312" w:eastAsia="CESI黑体-GB2312" w:cs="CESI黑体-GB2312"/>
          <w:lang w:val="en-US" w:eastAsia="zh-CN"/>
        </w:rPr>
      </w:pPr>
      <w:bookmarkStart w:id="63" w:name="_Toc9304"/>
      <w:bookmarkStart w:id="64" w:name="_Toc31698"/>
      <w:bookmarkStart w:id="65" w:name="_Toc3154"/>
      <w:r>
        <w:rPr>
          <w:rFonts w:hint="eastAsia" w:ascii="CESI黑体-GB2312" w:hAnsi="CESI黑体-GB2312" w:eastAsia="CESI黑体-GB2312" w:cs="CESI黑体-GB2312"/>
          <w:lang w:val="en-US" w:eastAsia="zh-CN"/>
        </w:rPr>
        <w:t xml:space="preserve">第二节  </w:t>
      </w:r>
      <w:bookmarkEnd w:id="63"/>
      <w:r>
        <w:rPr>
          <w:rFonts w:hint="eastAsia" w:ascii="CESI黑体-GB2312" w:hAnsi="CESI黑体-GB2312" w:eastAsia="CESI黑体-GB2312" w:cs="CESI黑体-GB2312"/>
          <w:lang w:val="en-US" w:eastAsia="zh-CN"/>
        </w:rPr>
        <w:t>推进制造业提质扩量增效</w:t>
      </w:r>
      <w:bookmarkEnd w:id="64"/>
      <w:bookmarkEnd w:id="65"/>
    </w:p>
    <w:p w14:paraId="2705FB4D">
      <w:pPr>
        <w:keepNext w:val="0"/>
        <w:keepLines w:val="0"/>
        <w:pageBreakBefore w:val="0"/>
        <w:widowControl w:val="0"/>
        <w:suppressLineNumbers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szCs w:val="32"/>
          <w:lang w:val="en-US" w:eastAsia="zh-CN"/>
        </w:rPr>
      </w:pPr>
      <w:r>
        <w:rPr>
          <w:rFonts w:hint="default" w:ascii="Times New Roman" w:hAnsi="Times New Roman" w:cs="Times New Roman"/>
          <w:color w:val="auto"/>
          <w:szCs w:val="32"/>
          <w:lang w:val="en-US" w:eastAsia="zh-CN"/>
        </w:rPr>
        <w:t>坚持链式化、集群化、融合化、智能化、绿色化发展，聚焦装备制造、绿色食药、现代材料、都市轻工业等产业细分领域，推进优势产业高端化、战略性新兴产业规模化、传统产业品质化。到2030年，实现规模以上工业总产值160亿元。</w:t>
      </w:r>
    </w:p>
    <w:p w14:paraId="3BF83A30">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66" w:name="_Toc28027"/>
      <w:bookmarkStart w:id="67" w:name="_Toc29693"/>
      <w:bookmarkStart w:id="68" w:name="_Toc28019"/>
      <w:r>
        <w:rPr>
          <w:rFonts w:hint="default" w:ascii="Times New Roman" w:hAnsi="Times New Roman" w:eastAsia="黑体" w:cs="Times New Roman"/>
          <w:b w:val="0"/>
          <w:bCs/>
          <w:color w:val="auto"/>
          <w:sz w:val="32"/>
          <w:szCs w:val="32"/>
          <w:lang w:val="en-US" w:eastAsia="zh-CN"/>
        </w:rPr>
        <w:t>一、</w:t>
      </w:r>
      <w:bookmarkEnd w:id="66"/>
      <w:r>
        <w:rPr>
          <w:rFonts w:hint="default" w:ascii="Times New Roman" w:hAnsi="Times New Roman" w:eastAsia="黑体" w:cs="Times New Roman"/>
          <w:b w:val="0"/>
          <w:bCs/>
          <w:color w:val="auto"/>
          <w:sz w:val="32"/>
          <w:szCs w:val="32"/>
          <w:lang w:val="en-US" w:eastAsia="zh-CN"/>
        </w:rPr>
        <w:t>做大做强装备制造业</w:t>
      </w:r>
      <w:bookmarkEnd w:id="67"/>
      <w:bookmarkEnd w:id="68"/>
    </w:p>
    <w:p w14:paraId="5DB40489">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全面融入汉中市装备制造高质量发展先行区建设，</w:t>
      </w:r>
      <w:r>
        <w:rPr>
          <w:rFonts w:hint="default" w:ascii="Times New Roman" w:hAnsi="Times New Roman" w:eastAsia="仿宋_GB2312" w:cs="Times New Roman"/>
          <w:color w:val="auto"/>
          <w:highlight w:val="none"/>
          <w:lang w:val="en-US" w:eastAsia="zh-CN"/>
        </w:rPr>
        <w:t>推动工业互联网、大数据、人工智能与装备制造业融合发展，重点发展航空零部件</w:t>
      </w:r>
      <w:r>
        <w:rPr>
          <w:rFonts w:hint="default" w:ascii="Times New Roman" w:hAnsi="Times New Roman" w:cs="Times New Roman"/>
          <w:color w:val="auto"/>
          <w:highlight w:val="none"/>
          <w:lang w:val="en-US" w:eastAsia="zh-CN"/>
        </w:rPr>
        <w:t>制造</w:t>
      </w:r>
      <w:r>
        <w:rPr>
          <w:rFonts w:hint="default" w:ascii="Times New Roman" w:hAnsi="Times New Roman" w:eastAsia="仿宋_GB2312" w:cs="Times New Roman"/>
          <w:color w:val="auto"/>
          <w:highlight w:val="none"/>
          <w:lang w:val="en-US" w:eastAsia="zh-CN"/>
        </w:rPr>
        <w:t>、数控机床、</w:t>
      </w:r>
      <w:r>
        <w:rPr>
          <w:rFonts w:hint="default" w:ascii="Times New Roman" w:hAnsi="Times New Roman" w:cs="Times New Roman"/>
          <w:color w:val="auto"/>
          <w:highlight w:val="none"/>
          <w:lang w:val="en-US" w:eastAsia="zh-CN"/>
        </w:rPr>
        <w:t>输变电</w:t>
      </w:r>
      <w:r>
        <w:rPr>
          <w:rFonts w:hint="default" w:ascii="Times New Roman" w:hAnsi="Times New Roman" w:eastAsia="仿宋_GB2312" w:cs="Times New Roman"/>
          <w:color w:val="auto"/>
          <w:highlight w:val="none"/>
          <w:lang w:val="en-US" w:eastAsia="zh-CN"/>
        </w:rPr>
        <w:t>装备等产品，延伸产业链条，做大做强产业集群</w:t>
      </w:r>
      <w:r>
        <w:rPr>
          <w:rFonts w:hint="default" w:ascii="Times New Roman" w:hAnsi="Times New Roman" w:eastAsia="仿宋_GB2312" w:cs="Times New Roman"/>
          <w:color w:val="auto"/>
          <w:sz w:val="32"/>
          <w:szCs w:val="32"/>
          <w:lang w:val="en-US" w:eastAsia="zh-CN"/>
        </w:rPr>
        <w:t>。到2030年，</w:t>
      </w:r>
      <w:r>
        <w:rPr>
          <w:rFonts w:hint="default" w:ascii="Times New Roman" w:hAnsi="Times New Roman" w:cs="Times New Roman"/>
          <w:color w:val="auto"/>
          <w:sz w:val="32"/>
          <w:szCs w:val="32"/>
          <w:lang w:val="en-US" w:eastAsia="zh-CN"/>
        </w:rPr>
        <w:t>实现</w:t>
      </w:r>
      <w:r>
        <w:rPr>
          <w:rFonts w:hint="default" w:ascii="Times New Roman" w:hAnsi="Times New Roman" w:eastAsia="仿宋_GB2312" w:cs="Times New Roman"/>
          <w:color w:val="auto"/>
          <w:sz w:val="32"/>
          <w:szCs w:val="32"/>
          <w:lang w:val="en-US" w:eastAsia="zh-CN"/>
        </w:rPr>
        <w:t>装备制造业产值</w:t>
      </w:r>
      <w:r>
        <w:rPr>
          <w:rFonts w:hint="default" w:ascii="Times New Roman" w:hAnsi="Times New Roman" w:cs="Times New Roman"/>
          <w:color w:val="auto"/>
          <w:sz w:val="32"/>
          <w:szCs w:val="32"/>
          <w:lang w:val="en-US" w:eastAsia="zh-CN"/>
        </w:rPr>
        <w:t>35</w:t>
      </w:r>
      <w:r>
        <w:rPr>
          <w:rFonts w:hint="default" w:ascii="Times New Roman" w:hAnsi="Times New Roman" w:eastAsia="仿宋_GB2312" w:cs="Times New Roman"/>
          <w:color w:val="auto"/>
          <w:sz w:val="32"/>
          <w:szCs w:val="32"/>
          <w:lang w:val="en-US" w:eastAsia="zh-CN"/>
        </w:rPr>
        <w:t>亿元。</w:t>
      </w:r>
    </w:p>
    <w:p w14:paraId="2AA17A1E">
      <w:pPr>
        <w:keepNext w:val="0"/>
        <w:keepLines w:val="0"/>
        <w:pageBreakBefore w:val="0"/>
        <w:widowControl w:val="0"/>
        <w:suppressLineNumbers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szCs w:val="32"/>
          <w:lang w:val="en-US" w:eastAsia="zh-CN"/>
        </w:rPr>
      </w:pPr>
      <w:r>
        <w:rPr>
          <w:rFonts w:hint="default" w:ascii="Times New Roman" w:hAnsi="Times New Roman" w:eastAsia="楷体_GB2312" w:cs="Times New Roman"/>
          <w:b w:val="0"/>
          <w:bCs w:val="0"/>
          <w:color w:val="auto"/>
          <w:lang w:val="en-US" w:eastAsia="zh-CN"/>
        </w:rPr>
        <w:t>航空零部件制造。</w:t>
      </w:r>
      <w:r>
        <w:rPr>
          <w:rFonts w:hint="default" w:ascii="Times New Roman" w:hAnsi="Times New Roman" w:eastAsia="仿宋_GB2312" w:cs="Times New Roman"/>
          <w:color w:val="auto"/>
          <w:szCs w:val="32"/>
          <w:lang w:val="en-US" w:eastAsia="zh-CN"/>
        </w:rPr>
        <w:t>围绕陕飞配套链条，</w:t>
      </w:r>
      <w:r>
        <w:rPr>
          <w:rFonts w:hint="default" w:ascii="Times New Roman" w:hAnsi="Times New Roman" w:cs="Times New Roman"/>
          <w:color w:val="auto"/>
          <w:szCs w:val="32"/>
          <w:lang w:val="en-US" w:eastAsia="zh-CN"/>
        </w:rPr>
        <w:t>强化军民融合发展、央地协同创新，</w:t>
      </w:r>
      <w:r>
        <w:rPr>
          <w:rFonts w:hint="default" w:ascii="Times New Roman" w:hAnsi="Times New Roman" w:eastAsia="仿宋_GB2312" w:cs="Times New Roman"/>
          <w:color w:val="auto"/>
          <w:sz w:val="32"/>
          <w:szCs w:val="32"/>
        </w:rPr>
        <w:t>吸引具有高端引领作用的航空零部件制造企业落户汉台，</w:t>
      </w:r>
      <w:r>
        <w:rPr>
          <w:rFonts w:hint="default" w:ascii="Times New Roman" w:hAnsi="Times New Roman" w:cs="Times New Roman"/>
          <w:color w:val="auto"/>
          <w:sz w:val="32"/>
          <w:szCs w:val="32"/>
          <w:lang w:val="en-US" w:eastAsia="zh-CN"/>
        </w:rPr>
        <w:t>围绕</w:t>
      </w:r>
      <w:r>
        <w:rPr>
          <w:rFonts w:hint="default" w:ascii="Times New Roman" w:hAnsi="Times New Roman" w:eastAsia="仿宋_GB2312" w:cs="Times New Roman"/>
          <w:color w:val="auto"/>
          <w:sz w:val="32"/>
          <w:szCs w:val="32"/>
        </w:rPr>
        <w:t>航空零部件、航空组件、机载设备</w:t>
      </w:r>
      <w:r>
        <w:rPr>
          <w:rFonts w:hint="default" w:ascii="Times New Roman" w:hAnsi="Times New Roman" w:cs="Times New Roman"/>
          <w:color w:val="auto"/>
          <w:sz w:val="32"/>
          <w:szCs w:val="32"/>
          <w:lang w:val="en-US" w:eastAsia="zh-CN"/>
        </w:rPr>
        <w:t>产业链条，重点发展</w:t>
      </w:r>
      <w:r>
        <w:rPr>
          <w:rFonts w:hint="default" w:ascii="Times New Roman" w:hAnsi="Times New Roman" w:eastAsia="仿宋_GB2312" w:cs="Times New Roman"/>
          <w:color w:val="auto"/>
          <w:szCs w:val="32"/>
          <w:lang w:val="en-US" w:eastAsia="zh-CN"/>
        </w:rPr>
        <w:t>航空标准件、飞机内饰件、液压系统等相关配套产品，提升配套陕飞及全行业的标准件生产能力，打造体系完整的航空配套产业集群。</w:t>
      </w:r>
    </w:p>
    <w:p w14:paraId="1CEB37DE">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eastAsia="楷体_GB2312" w:cs="Times New Roman"/>
          <w:b w:val="0"/>
          <w:bCs w:val="0"/>
          <w:color w:val="auto"/>
          <w:lang w:val="en-US" w:eastAsia="zh-CN"/>
        </w:rPr>
        <w:t>高档数控机床。</w:t>
      </w:r>
      <w:r>
        <w:rPr>
          <w:rFonts w:hint="default" w:ascii="Times New Roman" w:hAnsi="Times New Roman" w:eastAsia="仿宋_GB2312" w:cs="Times New Roman"/>
          <w:color w:val="auto"/>
          <w:szCs w:val="32"/>
          <w:lang w:val="en-US" w:eastAsia="zh-CN"/>
        </w:rPr>
        <w:t>推动</w:t>
      </w:r>
      <w:r>
        <w:rPr>
          <w:rFonts w:hint="default" w:ascii="Times New Roman" w:hAnsi="Times New Roman" w:eastAsia="仿宋_GB2312" w:cs="Times New Roman"/>
          <w:color w:val="auto"/>
          <w:szCs w:val="32"/>
        </w:rPr>
        <w:t>汉江机床、汉江工具等企业</w:t>
      </w:r>
      <w:r>
        <w:rPr>
          <w:rFonts w:hint="default" w:ascii="Times New Roman" w:hAnsi="Times New Roman" w:eastAsia="仿宋_GB2312" w:cs="Times New Roman"/>
          <w:color w:val="auto"/>
          <w:szCs w:val="32"/>
          <w:lang w:val="en-US" w:eastAsia="zh-CN"/>
        </w:rPr>
        <w:t>技术革新</w:t>
      </w:r>
      <w:r>
        <w:rPr>
          <w:rFonts w:hint="default" w:ascii="Times New Roman" w:hAnsi="Times New Roman" w:eastAsia="仿宋_GB2312" w:cs="Times New Roman"/>
          <w:color w:val="auto"/>
          <w:szCs w:val="32"/>
        </w:rPr>
        <w:t>，重点发展大型精密数控机床、滚动功能部件、卧式、龙门式加工中心等系列产品，积极研发研制复杂刀具新产品。</w:t>
      </w:r>
    </w:p>
    <w:p w14:paraId="11A7172E">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Cs w:val="32"/>
          <w:lang w:val="en-US" w:eastAsia="zh-CN"/>
        </w:rPr>
      </w:pPr>
      <w:r>
        <w:rPr>
          <w:rFonts w:hint="default" w:ascii="Times New Roman" w:hAnsi="Times New Roman" w:eastAsia="楷体_GB2312" w:cs="Times New Roman"/>
          <w:b w:val="0"/>
          <w:bCs w:val="0"/>
          <w:color w:val="auto"/>
          <w:lang w:val="en-US" w:eastAsia="zh-CN"/>
        </w:rPr>
        <w:t>输变电装备。</w:t>
      </w:r>
      <w:r>
        <w:rPr>
          <w:rFonts w:hint="default" w:ascii="Times New Roman" w:hAnsi="Times New Roman" w:eastAsia="仿宋_GB2312" w:cs="Times New Roman"/>
          <w:color w:val="auto"/>
          <w:highlight w:val="none"/>
          <w:lang w:val="en-US" w:eastAsia="zh-CN"/>
        </w:rPr>
        <w:t>紧盯国家特（超）高压变电、远程输电、储能电站等重大工程，吸引聚集一批智能电网元件、智能电表等制造企业，重点发展</w:t>
      </w:r>
      <w:r>
        <w:rPr>
          <w:rFonts w:hint="default" w:ascii="Times New Roman" w:hAnsi="Times New Roman" w:eastAsia="仿宋_GB2312" w:cs="Times New Roman"/>
          <w:color w:val="auto"/>
          <w:szCs w:val="32"/>
          <w:lang w:val="en-US" w:eastAsia="zh-CN"/>
        </w:rPr>
        <w:t>高低压开关、变压器、</w:t>
      </w:r>
      <w:r>
        <w:rPr>
          <w:rFonts w:hint="default" w:ascii="Times New Roman" w:hAnsi="Times New Roman" w:eastAsia="仿宋_GB2312" w:cs="Times New Roman"/>
          <w:color w:val="auto"/>
          <w:highlight w:val="none"/>
          <w:lang w:val="en-US" w:eastAsia="zh-CN"/>
        </w:rPr>
        <w:t>电线电缆、</w:t>
      </w:r>
      <w:r>
        <w:rPr>
          <w:rFonts w:hint="default" w:ascii="Times New Roman" w:hAnsi="Times New Roman" w:eastAsia="仿宋_GB2312" w:cs="Times New Roman"/>
          <w:color w:val="auto"/>
          <w:szCs w:val="32"/>
          <w:lang w:val="en-US" w:eastAsia="zh-CN"/>
        </w:rPr>
        <w:t>电抗器、绝缘子、互感器、避雷器、换流阀、电力电容器</w:t>
      </w:r>
      <w:r>
        <w:rPr>
          <w:rFonts w:hint="default" w:ascii="Times New Roman" w:hAnsi="Times New Roman" w:eastAsia="仿宋_GB2312" w:cs="Times New Roman"/>
          <w:color w:val="auto"/>
          <w:highlight w:val="none"/>
          <w:lang w:val="en-US" w:eastAsia="zh-CN"/>
        </w:rPr>
        <w:t>等电力设备</w:t>
      </w:r>
      <w:r>
        <w:rPr>
          <w:rFonts w:hint="default" w:ascii="Times New Roman" w:hAnsi="Times New Roman" w:cs="Times New Roman"/>
          <w:color w:val="auto"/>
          <w:highlight w:val="none"/>
          <w:lang w:val="en-US" w:eastAsia="zh-CN"/>
        </w:rPr>
        <w:t>，积极</w:t>
      </w:r>
      <w:r>
        <w:rPr>
          <w:rFonts w:hint="default" w:ascii="Times New Roman" w:hAnsi="Times New Roman" w:eastAsia="仿宋_GB2312" w:cs="Times New Roman"/>
          <w:color w:val="auto"/>
          <w:szCs w:val="32"/>
          <w:lang w:val="en-US" w:eastAsia="zh-CN"/>
        </w:rPr>
        <w:t>引进变电站巡检机器人、智慧配网终端、智能用电管理终端、智能变电站自动化系统、智能电网调度控制系统、充电桩等企业</w:t>
      </w:r>
      <w:r>
        <w:rPr>
          <w:rFonts w:hint="default" w:ascii="Times New Roman" w:hAnsi="Times New Roman" w:cs="Times New Roman"/>
          <w:color w:val="auto"/>
          <w:szCs w:val="32"/>
          <w:lang w:val="en-US" w:eastAsia="zh-CN"/>
        </w:rPr>
        <w:t>，</w:t>
      </w:r>
      <w:r>
        <w:rPr>
          <w:rFonts w:hint="default" w:ascii="Times New Roman" w:hAnsi="Times New Roman" w:eastAsia="仿宋_GB2312" w:cs="Times New Roman"/>
          <w:color w:val="auto"/>
          <w:szCs w:val="32"/>
          <w:lang w:val="en-US" w:eastAsia="zh-CN"/>
        </w:rPr>
        <w:t>做大做强智能输配电产业集群。</w:t>
      </w:r>
    </w:p>
    <w:p w14:paraId="4B2551D2">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eastAsia="楷体_GB2312" w:cs="Times New Roman"/>
          <w:b w:val="0"/>
          <w:bCs w:val="0"/>
          <w:color w:val="auto"/>
          <w:lang w:val="en-US" w:eastAsia="zh-CN"/>
        </w:rPr>
        <w:t>智能装备制造。</w:t>
      </w:r>
      <w:r>
        <w:rPr>
          <w:rFonts w:hint="default" w:ascii="Times New Roman" w:hAnsi="Times New Roman" w:cs="Times New Roman"/>
          <w:color w:val="auto"/>
          <w:szCs w:val="32"/>
        </w:rPr>
        <w:t>依托智熔金属3D打印、大秦索道等骨干企业，培育发展智能仪器仪表、智能交通设备、智能机器人、感知系统等智能测控装置和3D打印设备，攻克核心基础零部件制造技术、关键智能制造技术和系统集成技术。</w:t>
      </w:r>
    </w:p>
    <w:p w14:paraId="44082121">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eastAsia="楷体_GB2312" w:cs="Times New Roman"/>
          <w:b w:val="0"/>
          <w:bCs w:val="0"/>
          <w:color w:val="auto"/>
          <w:lang w:val="en-US" w:eastAsia="zh-CN"/>
        </w:rPr>
        <w:t>汽车零部件制造。</w:t>
      </w:r>
      <w:r>
        <w:rPr>
          <w:rFonts w:hint="default" w:ascii="Times New Roman" w:hAnsi="Times New Roman" w:cs="Times New Roman"/>
          <w:color w:val="auto"/>
          <w:szCs w:val="32"/>
        </w:rPr>
        <w:t>积极承接东</w:t>
      </w:r>
      <w:r>
        <w:rPr>
          <w:rFonts w:hint="default" w:ascii="Times New Roman" w:hAnsi="Times New Roman" w:cs="Times New Roman"/>
          <w:color w:val="auto"/>
          <w:szCs w:val="32"/>
          <w:lang w:val="en-US" w:eastAsia="zh-CN"/>
        </w:rPr>
        <w:t>中</w:t>
      </w:r>
      <w:r>
        <w:rPr>
          <w:rFonts w:hint="default" w:ascii="Times New Roman" w:hAnsi="Times New Roman" w:cs="Times New Roman"/>
          <w:color w:val="auto"/>
          <w:szCs w:val="32"/>
        </w:rPr>
        <w:t>部地区新能源汽车整车</w:t>
      </w:r>
      <w:r>
        <w:rPr>
          <w:rFonts w:hint="default" w:ascii="Times New Roman" w:hAnsi="Times New Roman" w:cs="Times New Roman"/>
          <w:color w:val="auto"/>
          <w:szCs w:val="32"/>
          <w:lang w:val="en-US" w:eastAsia="zh-CN"/>
        </w:rPr>
        <w:t>和零部件</w:t>
      </w:r>
      <w:r>
        <w:rPr>
          <w:rFonts w:hint="default" w:ascii="Times New Roman" w:hAnsi="Times New Roman" w:cs="Times New Roman"/>
          <w:color w:val="auto"/>
          <w:szCs w:val="32"/>
        </w:rPr>
        <w:t>产能转移，对接关中平原城市群、成渝城市群、汉江经济带等产业市场，建设新能源汽车关键零部件研发生产基地，对口引进动力电池、电机及控制系统等关键零部件配套企业，延伸发展充电连接器、检测仪器等配套设备。</w:t>
      </w:r>
    </w:p>
    <w:p w14:paraId="0C0595CA">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69" w:name="_Toc18388"/>
      <w:bookmarkStart w:id="70" w:name="_Toc6670"/>
      <w:r>
        <w:rPr>
          <w:rFonts w:hint="default" w:ascii="Times New Roman" w:hAnsi="Times New Roman" w:eastAsia="黑体" w:cs="Times New Roman"/>
          <w:b w:val="0"/>
          <w:bCs/>
          <w:color w:val="auto"/>
          <w:sz w:val="32"/>
          <w:szCs w:val="32"/>
          <w:lang w:val="en-US" w:eastAsia="zh-CN"/>
        </w:rPr>
        <w:t>二、做优做精绿色食药业</w:t>
      </w:r>
      <w:bookmarkEnd w:id="69"/>
      <w:bookmarkEnd w:id="70"/>
    </w:p>
    <w:p w14:paraId="4D00D3E3">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lang w:val="en-US" w:eastAsia="zh-CN"/>
        </w:rPr>
      </w:pPr>
      <w:r>
        <w:rPr>
          <w:rFonts w:hint="default" w:ascii="Times New Roman" w:hAnsi="Times New Roman" w:cs="Times New Roman"/>
          <w:color w:val="auto"/>
          <w:szCs w:val="32"/>
          <w:lang w:val="en-US" w:eastAsia="zh-CN"/>
        </w:rPr>
        <w:t>依托秦巴山区</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天然药库</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资源和农特产品资源，推动种植基地建设，加大新品研发力度，</w:t>
      </w:r>
      <w:r>
        <w:rPr>
          <w:rFonts w:hint="default" w:ascii="Times New Roman" w:hAnsi="Times New Roman" w:eastAsia="仿宋_GB2312" w:cs="Times New Roman"/>
          <w:color w:val="auto"/>
          <w:sz w:val="32"/>
          <w:szCs w:val="32"/>
        </w:rPr>
        <w:t>推进</w:t>
      </w:r>
      <w:r>
        <w:rPr>
          <w:rFonts w:hint="default" w:ascii="Times New Roman" w:hAnsi="Times New Roman" w:cs="Times New Roman"/>
          <w:color w:val="auto"/>
          <w:sz w:val="32"/>
          <w:szCs w:val="32"/>
          <w:lang w:val="en-US" w:eastAsia="zh-CN"/>
        </w:rPr>
        <w:t>农特</w:t>
      </w:r>
      <w:r>
        <w:rPr>
          <w:rFonts w:hint="default" w:ascii="Times New Roman" w:hAnsi="Times New Roman" w:eastAsia="仿宋_GB2312" w:cs="Times New Roman"/>
          <w:color w:val="auto"/>
          <w:sz w:val="32"/>
          <w:szCs w:val="32"/>
        </w:rPr>
        <w:t>产品商贸流通和精深加工</w:t>
      </w:r>
      <w:r>
        <w:rPr>
          <w:rFonts w:hint="eastAsia" w:cs="Times New Roman"/>
          <w:color w:val="auto"/>
          <w:sz w:val="32"/>
          <w:szCs w:val="32"/>
          <w:lang w:eastAsia="zh-CN"/>
        </w:rPr>
        <w:t>“</w:t>
      </w:r>
      <w:r>
        <w:rPr>
          <w:rFonts w:hint="default" w:ascii="Times New Roman" w:hAnsi="Times New Roman" w:eastAsia="仿宋_GB2312" w:cs="Times New Roman"/>
          <w:color w:val="auto"/>
          <w:sz w:val="32"/>
          <w:szCs w:val="32"/>
        </w:rPr>
        <w:t>双链融合</w:t>
      </w:r>
      <w:r>
        <w:rPr>
          <w:rFonts w:hint="eastAsia" w:cs="Times New Roman"/>
          <w:color w:val="auto"/>
          <w:sz w:val="32"/>
          <w:szCs w:val="32"/>
          <w:lang w:eastAsia="zh-CN"/>
        </w:rPr>
        <w:t>”</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Cs w:val="32"/>
          <w:lang w:val="en-US" w:eastAsia="zh-CN"/>
        </w:rPr>
        <w:t>完善种植、生产、研发、加工、销售全产业链条，打造绿色食药优质生态产品供给基地。到2030年，实现绿色食药产值27亿元。</w:t>
      </w:r>
    </w:p>
    <w:p w14:paraId="401BA604">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eastAsia="楷体_GB2312" w:cs="Times New Roman"/>
          <w:b w:val="0"/>
          <w:bCs w:val="0"/>
          <w:color w:val="auto"/>
          <w:lang w:val="en-US" w:eastAsia="zh-CN"/>
        </w:rPr>
        <w:t>绿色食品加工业。</w:t>
      </w:r>
      <w:r>
        <w:rPr>
          <w:rFonts w:hint="default" w:ascii="Times New Roman" w:hAnsi="Times New Roman" w:cs="Times New Roman"/>
          <w:color w:val="auto"/>
          <w:szCs w:val="32"/>
          <w:lang w:val="en-US" w:eastAsia="zh-CN"/>
        </w:rPr>
        <w:t>以老君镇食品加工聚集区为依托，紧密对接特色种养殖业，着力延伸</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粮、油、肉、菜、果</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绿色食品加工产业链，大力发展绿色健康系列食品。培育发展肉类、果蔬类、面点类等预制菜示范企业。围绕杜仲、天麻、西洋参等药食同源产品，积极开发药膳、茶酒、饮料等功能保健食品。</w:t>
      </w:r>
    </w:p>
    <w:p w14:paraId="4691605F">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lang w:val="en-US" w:eastAsia="zh-CN"/>
        </w:rPr>
      </w:pPr>
      <w:r>
        <w:rPr>
          <w:rFonts w:hint="default" w:ascii="Times New Roman" w:hAnsi="Times New Roman" w:eastAsia="楷体_GB2312" w:cs="Times New Roman"/>
          <w:b w:val="0"/>
          <w:bCs w:val="0"/>
          <w:color w:val="auto"/>
          <w:lang w:val="en-US" w:eastAsia="zh-CN"/>
        </w:rPr>
        <w:t>现代中药产业。</w:t>
      </w:r>
      <w:r>
        <w:rPr>
          <w:rFonts w:hint="default" w:ascii="Times New Roman" w:hAnsi="Times New Roman" w:cs="Times New Roman"/>
          <w:color w:val="auto"/>
          <w:szCs w:val="32"/>
          <w:lang w:val="en-US" w:eastAsia="zh-CN"/>
        </w:rPr>
        <w:t>推进道地中药材基地建设，支持企业联合各类研发机构，围绕杜仲、银杏、厚朴、元胡等资源深开发，研制一批疗效明显、质量可控、剂型稳定、服用方便的现代中药产品，打造以杜仲、天麻、黄精为代表的</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汉八味</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道地药材品牌。</w:t>
      </w:r>
    </w:p>
    <w:p w14:paraId="6B51A802">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71" w:name="_Toc22393"/>
      <w:bookmarkStart w:id="72" w:name="_Toc23404"/>
      <w:r>
        <w:rPr>
          <w:rFonts w:hint="default" w:ascii="Times New Roman" w:hAnsi="Times New Roman" w:eastAsia="黑体" w:cs="Times New Roman"/>
          <w:b w:val="0"/>
          <w:bCs/>
          <w:color w:val="auto"/>
          <w:sz w:val="32"/>
          <w:szCs w:val="32"/>
          <w:lang w:val="en-US" w:eastAsia="zh-CN"/>
        </w:rPr>
        <w:t>三、提档升级现代材料业</w:t>
      </w:r>
      <w:bookmarkEnd w:id="71"/>
      <w:bookmarkEnd w:id="72"/>
    </w:p>
    <w:p w14:paraId="7451514C">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lang w:val="en-US" w:eastAsia="zh-CN"/>
        </w:rPr>
      </w:pPr>
      <w:r>
        <w:rPr>
          <w:rFonts w:hint="default" w:ascii="Times New Roman" w:hAnsi="Times New Roman" w:eastAsia="仿宋_GB2312" w:cs="Times New Roman"/>
          <w:color w:val="auto"/>
          <w:sz w:val="32"/>
          <w:szCs w:val="32"/>
          <w:highlight w:val="none"/>
        </w:rPr>
        <w:t>按照</w:t>
      </w:r>
      <w:r>
        <w:rPr>
          <w:rFonts w:hint="eastAsia"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强龙头、补链条、聚集群</w:t>
      </w:r>
      <w:r>
        <w:rPr>
          <w:rFonts w:hint="eastAsia"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的</w:t>
      </w:r>
      <w:r>
        <w:rPr>
          <w:rFonts w:hint="default" w:ascii="Times New Roman" w:hAnsi="Times New Roman" w:eastAsia="仿宋_GB2312" w:cs="Times New Roman"/>
          <w:color w:val="auto"/>
          <w:sz w:val="32"/>
          <w:szCs w:val="32"/>
          <w:highlight w:val="none"/>
        </w:rPr>
        <w:t>思路，</w:t>
      </w:r>
      <w:r>
        <w:rPr>
          <w:rFonts w:hint="default" w:ascii="Times New Roman" w:hAnsi="Times New Roman" w:cs="Times New Roman"/>
          <w:color w:val="auto"/>
          <w:sz w:val="32"/>
          <w:szCs w:val="32"/>
          <w:highlight w:val="none"/>
          <w:lang w:val="en-US" w:eastAsia="zh-CN"/>
        </w:rPr>
        <w:t>重点发展新型建筑材料</w:t>
      </w:r>
      <w:r>
        <w:rPr>
          <w:rFonts w:hint="default" w:ascii="Times New Roman" w:hAnsi="Times New Roman" w:eastAsia="仿宋_GB2312" w:cs="Times New Roman"/>
          <w:color w:val="auto"/>
          <w:sz w:val="32"/>
          <w:szCs w:val="32"/>
          <w:highlight w:val="none"/>
          <w:lang w:val="en-US" w:eastAsia="zh-CN"/>
        </w:rPr>
        <w:t>、金属合金材料、绿色环保材料</w:t>
      </w:r>
      <w:r>
        <w:rPr>
          <w:rFonts w:hint="default"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推动产业向绿色化、循环化、高端化升级</w:t>
      </w:r>
      <w:r>
        <w:rPr>
          <w:rFonts w:hint="default" w:ascii="Times New Roman" w:hAnsi="Times New Roman" w:cs="Times New Roman"/>
          <w:color w:val="auto"/>
          <w:sz w:val="32"/>
          <w:szCs w:val="32"/>
          <w:highlight w:val="none"/>
          <w:lang w:eastAsia="zh-CN"/>
        </w:rPr>
        <w:t>。</w:t>
      </w:r>
      <w:r>
        <w:rPr>
          <w:rFonts w:hint="default" w:ascii="Times New Roman" w:hAnsi="Times New Roman" w:cs="Times New Roman"/>
          <w:color w:val="auto"/>
          <w:szCs w:val="32"/>
          <w:lang w:val="en-US" w:eastAsia="zh-CN"/>
        </w:rPr>
        <w:t>到2030年，实现现代材料年产值15亿元。</w:t>
      </w:r>
    </w:p>
    <w:p w14:paraId="13213B8B">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val="0"/>
          <w:bCs w:val="0"/>
          <w:color w:val="auto"/>
          <w:lang w:val="en-US" w:eastAsia="zh-CN"/>
        </w:rPr>
        <w:t>新型建筑材料。</w:t>
      </w:r>
      <w:r>
        <w:rPr>
          <w:rFonts w:hint="default" w:ascii="Times New Roman" w:hAnsi="Times New Roman" w:eastAsia="仿宋_GB2312" w:cs="Times New Roman"/>
          <w:color w:val="auto"/>
          <w:sz w:val="32"/>
          <w:szCs w:val="32"/>
          <w:highlight w:val="none"/>
        </w:rPr>
        <w:t>加快传统建材产业转型升级，支持中材汉江水泥、君安建材</w:t>
      </w:r>
      <w:r>
        <w:rPr>
          <w:rFonts w:hint="default" w:ascii="Times New Roman" w:hAnsi="Times New Roman" w:eastAsia="仿宋_GB2312" w:cs="Times New Roman"/>
          <w:color w:val="auto"/>
          <w:sz w:val="32"/>
          <w:szCs w:val="32"/>
          <w:highlight w:val="none"/>
          <w:lang w:val="en-US" w:eastAsia="zh-CN"/>
        </w:rPr>
        <w:t>等</w:t>
      </w:r>
      <w:r>
        <w:rPr>
          <w:rFonts w:hint="default" w:ascii="Times New Roman" w:hAnsi="Times New Roman" w:eastAsia="仿宋_GB2312" w:cs="Times New Roman"/>
          <w:color w:val="auto"/>
          <w:sz w:val="32"/>
          <w:szCs w:val="32"/>
          <w:highlight w:val="none"/>
        </w:rPr>
        <w:t>企业实施技术改造，淘汰落后工艺装备，深化商品混凝土等全产业链开发利用。引导企业重点发展装配式建筑材料、新型墙体材料、环保装饰建筑材料、保温隔热材料、防水材料等现代材料。</w:t>
      </w:r>
    </w:p>
    <w:p w14:paraId="09D82714">
      <w:pPr>
        <w:keepNext w:val="0"/>
        <w:keepLines w:val="0"/>
        <w:pageBreakBefore w:val="0"/>
        <w:widowControl w:val="0"/>
        <w:kinsoku/>
        <w:wordWrap/>
        <w:overflowPunct/>
        <w:topLinePunct w:val="0"/>
        <w:autoSpaceDE/>
        <w:autoSpaceDN/>
        <w:bidi w:val="0"/>
        <w:adjustRightInd/>
        <w:snapToGrid/>
        <w:spacing w:line="240" w:lineRule="auto"/>
        <w:ind w:firstLine="622"/>
        <w:textAlignment w:val="center"/>
        <w:rPr>
          <w:rFonts w:hint="default" w:ascii="Times New Roman" w:hAnsi="Times New Roman" w:eastAsia="仿宋_GB2312" w:cs="Times New Roman"/>
          <w:color w:val="auto"/>
          <w:szCs w:val="32"/>
          <w:lang w:val="en-US" w:eastAsia="zh-CN"/>
        </w:rPr>
      </w:pPr>
      <w:r>
        <w:rPr>
          <w:rFonts w:hint="default" w:ascii="Times New Roman" w:hAnsi="Times New Roman" w:eastAsia="楷体_GB2312" w:cs="Times New Roman"/>
          <w:b w:val="0"/>
          <w:bCs w:val="0"/>
          <w:color w:val="auto"/>
          <w:lang w:val="en-US" w:eastAsia="zh-CN"/>
        </w:rPr>
        <w:t>绿色环保材料。</w:t>
      </w:r>
      <w:r>
        <w:rPr>
          <w:rFonts w:hint="default" w:ascii="Times New Roman" w:hAnsi="Times New Roman" w:eastAsia="仿宋_GB2312" w:cs="Times New Roman"/>
          <w:color w:val="auto"/>
          <w:szCs w:val="32"/>
          <w:lang w:val="en-US" w:eastAsia="zh-CN"/>
        </w:rPr>
        <w:t>重点发展生物基纤维材料，推动农作物秸秆资源化利用，生产纸浆纤维、莱赛尔纤维等高附加值工业产品及可降解手术缝合线等，规模化发展绿色降解新材料，服务绿色食品包装等领域需求。</w:t>
      </w:r>
    </w:p>
    <w:p w14:paraId="7937FC56">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73" w:name="_Toc17405"/>
      <w:bookmarkStart w:id="74" w:name="_Toc25845"/>
      <w:r>
        <w:rPr>
          <w:rFonts w:hint="default" w:ascii="Times New Roman" w:hAnsi="Times New Roman" w:eastAsia="黑体" w:cs="Times New Roman"/>
          <w:b w:val="0"/>
          <w:bCs/>
          <w:color w:val="auto"/>
          <w:sz w:val="32"/>
          <w:szCs w:val="32"/>
          <w:lang w:val="en-US" w:eastAsia="zh-CN"/>
        </w:rPr>
        <w:t>四、积极发展都市轻工业</w:t>
      </w:r>
      <w:bookmarkEnd w:id="73"/>
      <w:bookmarkEnd w:id="74"/>
    </w:p>
    <w:p w14:paraId="30F1BB28">
      <w:pPr>
        <w:keepNext w:val="0"/>
        <w:keepLines w:val="0"/>
        <w:pageBreakBefore w:val="0"/>
        <w:widowControl w:val="0"/>
        <w:kinsoku/>
        <w:wordWrap/>
        <w:overflowPunct/>
        <w:topLinePunct w:val="0"/>
        <w:autoSpaceDE/>
        <w:autoSpaceDN/>
        <w:bidi w:val="0"/>
        <w:adjustRightInd/>
        <w:snapToGrid/>
        <w:spacing w:line="240" w:lineRule="auto"/>
        <w:ind w:firstLine="622"/>
        <w:textAlignment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zCs w:val="32"/>
          <w:lang w:val="en-US" w:eastAsia="zh-CN"/>
        </w:rPr>
        <w:t>充分挖掘闲置楼宇、闲置厂房等资源</w:t>
      </w:r>
      <w:r>
        <w:rPr>
          <w:rFonts w:hint="default" w:ascii="Times New Roman" w:hAnsi="Times New Roman" w:eastAsia="仿宋_GB2312" w:cs="Times New Roman"/>
          <w:color w:val="auto"/>
          <w:szCs w:val="32"/>
        </w:rPr>
        <w:t>，通过新建和改造等途径，着力引进和培育一批科技型、环保型、轻加工型等</w:t>
      </w:r>
      <w:r>
        <w:rPr>
          <w:rFonts w:hint="eastAsia" w:cs="Times New Roman"/>
          <w:color w:val="auto"/>
          <w:szCs w:val="32"/>
          <w:lang w:eastAsia="zh-CN"/>
        </w:rPr>
        <w:t>“</w:t>
      </w:r>
      <w:r>
        <w:rPr>
          <w:rFonts w:hint="default" w:ascii="Times New Roman" w:hAnsi="Times New Roman" w:eastAsia="仿宋_GB2312" w:cs="Times New Roman"/>
          <w:color w:val="auto"/>
          <w:szCs w:val="32"/>
        </w:rPr>
        <w:t>专精特新</w:t>
      </w:r>
      <w:r>
        <w:rPr>
          <w:rFonts w:hint="eastAsia" w:cs="Times New Roman"/>
          <w:color w:val="auto"/>
          <w:szCs w:val="32"/>
          <w:lang w:eastAsia="zh-CN"/>
        </w:rPr>
        <w:t>”</w:t>
      </w:r>
      <w:r>
        <w:rPr>
          <w:rFonts w:hint="default" w:ascii="Times New Roman" w:hAnsi="Times New Roman" w:eastAsia="仿宋_GB2312" w:cs="Times New Roman"/>
          <w:color w:val="auto"/>
          <w:szCs w:val="32"/>
        </w:rPr>
        <w:t>创新型企业，</w:t>
      </w:r>
      <w:r>
        <w:rPr>
          <w:rFonts w:hint="default" w:ascii="Times New Roman" w:hAnsi="Times New Roman" w:eastAsia="仿宋_GB2312" w:cs="Times New Roman"/>
          <w:color w:val="auto"/>
          <w:szCs w:val="32"/>
          <w:lang w:val="en-US" w:eastAsia="zh-CN"/>
        </w:rPr>
        <w:t>重点发展服饰加工、包装印刷、</w:t>
      </w:r>
      <w:r>
        <w:rPr>
          <w:rFonts w:hint="default" w:ascii="Times New Roman" w:hAnsi="Times New Roman" w:eastAsia="仿宋_GB2312" w:cs="Times New Roman"/>
          <w:color w:val="auto"/>
          <w:lang w:val="en-US" w:eastAsia="zh-CN"/>
        </w:rPr>
        <w:t>工艺品加工等产业。到2030年，实现都市轻工业产值</w:t>
      </w:r>
      <w:r>
        <w:rPr>
          <w:rFonts w:hint="default" w:ascii="Times New Roman" w:hAnsi="Times New Roman" w:cs="Times New Roman"/>
          <w:color w:val="auto"/>
          <w:lang w:val="en-US" w:eastAsia="zh-CN"/>
        </w:rPr>
        <w:t>7</w:t>
      </w:r>
      <w:r>
        <w:rPr>
          <w:rFonts w:hint="default" w:ascii="Times New Roman" w:hAnsi="Times New Roman" w:eastAsia="仿宋_GB2312" w:cs="Times New Roman"/>
          <w:color w:val="auto"/>
          <w:lang w:val="en-US" w:eastAsia="zh-CN"/>
        </w:rPr>
        <w:t>亿元。</w:t>
      </w:r>
    </w:p>
    <w:p w14:paraId="70510F8A">
      <w:pPr>
        <w:keepNext w:val="0"/>
        <w:keepLines w:val="0"/>
        <w:pageBreakBefore w:val="0"/>
        <w:widowControl w:val="0"/>
        <w:suppressLineNumbers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szCs w:val="32"/>
          <w:lang w:val="en-US" w:eastAsia="zh-CN"/>
        </w:rPr>
      </w:pPr>
      <w:r>
        <w:rPr>
          <w:rFonts w:hint="default" w:ascii="Times New Roman" w:hAnsi="Times New Roman" w:eastAsia="楷体_GB2312" w:cs="Times New Roman"/>
          <w:b w:val="0"/>
          <w:bCs w:val="0"/>
          <w:color w:val="auto"/>
          <w:lang w:val="en-US" w:eastAsia="zh-CN"/>
        </w:rPr>
        <w:t>服饰加工业。</w:t>
      </w:r>
      <w:r>
        <w:rPr>
          <w:rFonts w:hint="default" w:ascii="Times New Roman" w:hAnsi="Times New Roman" w:eastAsia="仿宋_GB2312" w:cs="Times New Roman"/>
          <w:color w:val="auto"/>
          <w:szCs w:val="32"/>
          <w:lang w:val="en-US" w:eastAsia="zh-CN"/>
        </w:rPr>
        <w:t>紧盯长三角服饰加工企业转移意向，积极招引沿海服饰企业转移落户汉台。</w:t>
      </w:r>
      <w:r>
        <w:rPr>
          <w:rFonts w:hint="default" w:ascii="Times New Roman" w:hAnsi="Times New Roman" w:cs="Times New Roman"/>
          <w:color w:val="auto"/>
          <w:szCs w:val="32"/>
          <w:lang w:val="en-US" w:eastAsia="zh-CN"/>
        </w:rPr>
        <w:t>大力</w:t>
      </w:r>
      <w:r>
        <w:rPr>
          <w:rFonts w:hint="default" w:ascii="Times New Roman" w:hAnsi="Times New Roman" w:eastAsia="仿宋_GB2312" w:cs="Times New Roman"/>
          <w:color w:val="auto"/>
          <w:szCs w:val="32"/>
          <w:lang w:val="en-US" w:eastAsia="zh-CN"/>
        </w:rPr>
        <w:t>引进汉服加工、专业绣印花、裁片、服饰配件等配套企业和项目。引导服装服饰企业开设老年产品线，加强服装服饰适老设计，研究应用具有安全防护、蓄热保暖、定位等特定功能的服装服饰。建设区域智能服饰加工产业集群。</w:t>
      </w:r>
    </w:p>
    <w:p w14:paraId="1F94FBED">
      <w:pPr>
        <w:keepNext w:val="0"/>
        <w:keepLines w:val="0"/>
        <w:pageBreakBefore w:val="0"/>
        <w:widowControl w:val="0"/>
        <w:kinsoku/>
        <w:wordWrap/>
        <w:overflowPunct/>
        <w:topLinePunct w:val="0"/>
        <w:autoSpaceDE/>
        <w:autoSpaceDN/>
        <w:bidi w:val="0"/>
        <w:adjustRightInd/>
        <w:snapToGrid/>
        <w:spacing w:line="240" w:lineRule="auto"/>
        <w:ind w:firstLine="625"/>
        <w:jc w:val="both"/>
        <w:textAlignment w:val="center"/>
        <w:rPr>
          <w:rFonts w:hint="default" w:ascii="Times New Roman" w:hAnsi="Times New Roman" w:cs="Times New Roman"/>
          <w:color w:val="auto"/>
          <w:szCs w:val="32"/>
        </w:rPr>
      </w:pPr>
      <w:r>
        <w:rPr>
          <w:rFonts w:hint="default" w:ascii="Times New Roman" w:hAnsi="Times New Roman" w:eastAsia="楷体_GB2312" w:cs="Times New Roman"/>
          <w:b w:val="0"/>
          <w:bCs w:val="0"/>
          <w:color w:val="auto"/>
          <w:lang w:val="en-US" w:eastAsia="zh-CN"/>
        </w:rPr>
        <w:t>包装印刷业。</w:t>
      </w:r>
      <w:r>
        <w:rPr>
          <w:rFonts w:hint="default" w:ascii="Times New Roman" w:hAnsi="Times New Roman" w:cs="Times New Roman"/>
          <w:color w:val="auto"/>
          <w:szCs w:val="32"/>
        </w:rPr>
        <w:t>以精品包装印刷、数码短版印刷为重点，发展高档精品业务，引进大型包装印刷企业，建立资源循环利用的包装与印刷产业体系。</w:t>
      </w:r>
    </w:p>
    <w:p w14:paraId="733DA973">
      <w:pPr>
        <w:keepNext w:val="0"/>
        <w:keepLines w:val="0"/>
        <w:pageBreakBefore w:val="0"/>
        <w:widowControl w:val="0"/>
        <w:kinsoku/>
        <w:wordWrap/>
        <w:overflowPunct/>
        <w:topLinePunct w:val="0"/>
        <w:autoSpaceDE/>
        <w:autoSpaceDN/>
        <w:bidi w:val="0"/>
        <w:adjustRightInd/>
        <w:snapToGrid/>
        <w:spacing w:line="240" w:lineRule="auto"/>
        <w:ind w:firstLine="625"/>
        <w:jc w:val="both"/>
        <w:textAlignment w:val="center"/>
        <w:rPr>
          <w:rFonts w:hint="default" w:ascii="Times New Roman" w:hAnsi="Times New Roman" w:cs="Times New Roman"/>
          <w:color w:val="auto"/>
          <w:szCs w:val="32"/>
          <w:lang w:val="en-US" w:eastAsia="zh-CN"/>
        </w:rPr>
      </w:pPr>
      <w:r>
        <w:rPr>
          <w:rFonts w:hint="default" w:ascii="Times New Roman" w:hAnsi="Times New Roman" w:eastAsia="楷体_GB2312" w:cs="Times New Roman"/>
          <w:b w:val="0"/>
          <w:bCs w:val="0"/>
          <w:color w:val="auto"/>
          <w:lang w:val="en-US" w:eastAsia="zh-CN"/>
        </w:rPr>
        <w:t>工艺品加工业。</w:t>
      </w:r>
      <w:r>
        <w:rPr>
          <w:rFonts w:hint="default" w:ascii="Times New Roman" w:hAnsi="Times New Roman" w:cs="Times New Roman"/>
          <w:color w:val="auto"/>
          <w:szCs w:val="32"/>
          <w:lang w:val="en-US" w:eastAsia="zh-CN"/>
        </w:rPr>
        <w:t>深度发掘</w:t>
      </w:r>
      <w:r>
        <w:rPr>
          <w:rFonts w:hint="default" w:ascii="Times New Roman" w:hAnsi="Times New Roman" w:cs="Times New Roman"/>
          <w:color w:val="auto"/>
          <w:szCs w:val="32"/>
        </w:rPr>
        <w:t>传统弓箭制作</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rPr>
        <w:t>龙江龙舞道具制作技艺</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rPr>
        <w:t>摩崖石刻拓印技艺</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lang w:val="en-US" w:eastAsia="zh-CN"/>
        </w:rPr>
        <w:t>汉中藤编等非遗传承工艺，倡导和弘扬工匠精神，加快发展</w:t>
      </w:r>
      <w:r>
        <w:rPr>
          <w:rFonts w:hint="default" w:ascii="Times New Roman" w:hAnsi="Times New Roman" w:cs="Times New Roman"/>
          <w:color w:val="auto"/>
          <w:szCs w:val="32"/>
        </w:rPr>
        <w:t>石门书法文创</w:t>
      </w:r>
      <w:r>
        <w:rPr>
          <w:rFonts w:hint="default" w:ascii="Times New Roman" w:hAnsi="Times New Roman" w:cs="Times New Roman"/>
          <w:color w:val="auto"/>
          <w:szCs w:val="32"/>
          <w:lang w:val="en-US" w:eastAsia="zh-CN"/>
        </w:rPr>
        <w:t>、汉中墨韵、汉中玉石、</w:t>
      </w:r>
      <w:r>
        <w:rPr>
          <w:rFonts w:hint="default" w:ascii="Times New Roman" w:hAnsi="Times New Roman" w:cs="Times New Roman"/>
          <w:color w:val="auto"/>
          <w:szCs w:val="32"/>
        </w:rPr>
        <w:t>汉文化主题茶具</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rPr>
        <w:t>弓箭</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lang w:val="en-US" w:eastAsia="zh-CN"/>
        </w:rPr>
        <w:t>汉锦织造、藤编、龙舞道具等各类特色工艺品，强化品牌意识、提高产品附加值。</w:t>
      </w:r>
    </w:p>
    <w:tbl>
      <w:tblPr>
        <w:tblStyle w:val="15"/>
        <w:tblW w:w="0" w:type="auto"/>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3"/>
      </w:tblGrid>
      <w:tr w14:paraId="35B6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3" w:type="dxa"/>
            <w:noWrap w:val="0"/>
            <w:vAlign w:val="top"/>
          </w:tcPr>
          <w:p w14:paraId="48EC18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专栏2-9  先进制造业建设工程</w:t>
            </w:r>
          </w:p>
        </w:tc>
      </w:tr>
      <w:tr w14:paraId="6DE4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3" w:type="dxa"/>
            <w:noWrap w:val="0"/>
            <w:vAlign w:val="top"/>
          </w:tcPr>
          <w:p w14:paraId="6695BA8B">
            <w:pPr>
              <w:keepNext w:val="0"/>
              <w:keepLines w:val="0"/>
              <w:pageBreakBefore w:val="0"/>
              <w:widowControl w:val="0"/>
              <w:kinsoku/>
              <w:wordWrap/>
              <w:overflowPunct/>
              <w:topLinePunct w:val="0"/>
              <w:autoSpaceDE/>
              <w:autoSpaceDN/>
              <w:bidi w:val="0"/>
              <w:adjustRightInd w:val="0"/>
              <w:snapToGrid w:val="0"/>
              <w:spacing w:line="38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装备制造</w:t>
            </w:r>
            <w:r>
              <w:rPr>
                <w:rFonts w:hint="default" w:ascii="Times New Roman" w:hAnsi="Times New Roman" w:cs="Times New Roman"/>
                <w:b/>
                <w:bCs/>
                <w:color w:val="auto"/>
                <w:spacing w:val="0"/>
                <w:kern w:val="2"/>
                <w:sz w:val="24"/>
                <w:szCs w:val="24"/>
                <w:vertAlign w:val="baseline"/>
                <w:lang w:val="en-US" w:eastAsia="zh-CN" w:bidi="ar-SA"/>
              </w:rPr>
              <w:t>业巩固</w:t>
            </w:r>
            <w:r>
              <w:rPr>
                <w:rFonts w:hint="default" w:ascii="Times New Roman" w:hAnsi="Times New Roman" w:eastAsia="仿宋_GB2312" w:cs="Times New Roman"/>
                <w:b/>
                <w:bCs/>
                <w:color w:val="auto"/>
                <w:spacing w:val="0"/>
                <w:kern w:val="2"/>
                <w:sz w:val="24"/>
                <w:szCs w:val="24"/>
                <w:vertAlign w:val="baseline"/>
                <w:lang w:val="en-US" w:eastAsia="zh-CN" w:bidi="ar-SA"/>
              </w:rPr>
              <w:t>工程。</w:t>
            </w:r>
            <w:r>
              <w:rPr>
                <w:rFonts w:hint="default" w:ascii="Times New Roman" w:hAnsi="Times New Roman" w:cs="Times New Roman"/>
                <w:b w:val="0"/>
                <w:bCs w:val="0"/>
                <w:color w:val="auto"/>
                <w:spacing w:val="0"/>
                <w:kern w:val="2"/>
                <w:sz w:val="24"/>
                <w:szCs w:val="24"/>
                <w:vertAlign w:val="baseline"/>
                <w:lang w:val="en-US" w:eastAsia="zh-CN" w:bidi="ar-SA"/>
              </w:rPr>
              <w:t>重点建设飞机舱门研发及生产线、航空零部件制造基地、高端数控机床滚动功能部件生产、汉华精密仪器改扩建、高压涡轮叶片制造加工、宗营镇机械加工产业园、徐望镇机械装配制造等项目。</w:t>
            </w:r>
          </w:p>
          <w:p w14:paraId="5EC8D785">
            <w:pPr>
              <w:keepNext w:val="0"/>
              <w:keepLines w:val="0"/>
              <w:pageBreakBefore w:val="0"/>
              <w:widowControl w:val="0"/>
              <w:kinsoku/>
              <w:wordWrap/>
              <w:overflowPunct/>
              <w:topLinePunct w:val="0"/>
              <w:autoSpaceDE/>
              <w:autoSpaceDN/>
              <w:bidi w:val="0"/>
              <w:adjustRightInd w:val="0"/>
              <w:snapToGrid w:val="0"/>
              <w:spacing w:line="38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绿色食药</w:t>
            </w:r>
            <w:r>
              <w:rPr>
                <w:rFonts w:hint="default" w:ascii="Times New Roman" w:hAnsi="Times New Roman" w:cs="Times New Roman"/>
                <w:b/>
                <w:bCs/>
                <w:color w:val="auto"/>
                <w:spacing w:val="0"/>
                <w:kern w:val="2"/>
                <w:sz w:val="24"/>
                <w:szCs w:val="24"/>
                <w:vertAlign w:val="baseline"/>
                <w:lang w:val="en-US" w:eastAsia="zh-CN" w:bidi="ar-SA"/>
              </w:rPr>
              <w:t>业做优</w:t>
            </w:r>
            <w:r>
              <w:rPr>
                <w:rFonts w:hint="default" w:ascii="Times New Roman" w:hAnsi="Times New Roman" w:eastAsia="仿宋_GB2312" w:cs="Times New Roman"/>
                <w:b/>
                <w:bCs/>
                <w:color w:val="auto"/>
                <w:spacing w:val="0"/>
                <w:kern w:val="2"/>
                <w:sz w:val="24"/>
                <w:szCs w:val="24"/>
                <w:vertAlign w:val="baseline"/>
                <w:lang w:val="en-US" w:eastAsia="zh-CN" w:bidi="ar-SA"/>
              </w:rPr>
              <w:t>工程。</w:t>
            </w:r>
            <w:r>
              <w:rPr>
                <w:rFonts w:hint="default" w:ascii="Times New Roman" w:hAnsi="Times New Roman" w:cs="Times New Roman"/>
                <w:b w:val="0"/>
                <w:bCs w:val="0"/>
                <w:color w:val="auto"/>
                <w:spacing w:val="0"/>
                <w:kern w:val="2"/>
                <w:sz w:val="24"/>
                <w:szCs w:val="24"/>
                <w:vertAlign w:val="baseline"/>
                <w:lang w:val="en-US" w:eastAsia="zh-CN" w:bidi="ar-SA"/>
              </w:rPr>
              <w:t>重点</w:t>
            </w:r>
            <w:r>
              <w:rPr>
                <w:rFonts w:hint="default" w:ascii="Times New Roman" w:hAnsi="Times New Roman" w:eastAsia="仿宋_GB2312" w:cs="Times New Roman"/>
                <w:b w:val="0"/>
                <w:bCs w:val="0"/>
                <w:color w:val="auto"/>
                <w:spacing w:val="0"/>
                <w:kern w:val="2"/>
                <w:sz w:val="24"/>
                <w:szCs w:val="24"/>
                <w:vertAlign w:val="baseline"/>
                <w:lang w:val="en-US" w:eastAsia="zh-CN" w:bidi="ar-SA"/>
              </w:rPr>
              <w:t>建设汉中大健康富硒魔芋食品产业园</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汉中市清真牛羊肉定点屠宰厂</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陕南食品加工及冷链物流产业基地</w:t>
            </w:r>
            <w:r>
              <w:rPr>
                <w:rFonts w:hint="default" w:ascii="Times New Roman" w:hAnsi="Times New Roman" w:cs="Times New Roman"/>
                <w:b w:val="0"/>
                <w:bCs w:val="0"/>
                <w:color w:val="auto"/>
                <w:spacing w:val="0"/>
                <w:kern w:val="2"/>
                <w:sz w:val="24"/>
                <w:szCs w:val="24"/>
                <w:vertAlign w:val="baseline"/>
                <w:lang w:val="en-US" w:eastAsia="zh-CN" w:bidi="ar-SA"/>
              </w:rPr>
              <w:t>、铺镇年产4万吨大米智能生产线、汉中龙祥工贸中药材仓储加工、褒河</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黄花河</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地表活性矿泉水生产线、仁乡源食品公司三期、青岛啤酒退城入园及能力提升等项目。</w:t>
            </w:r>
          </w:p>
          <w:p w14:paraId="75635107">
            <w:pPr>
              <w:keepNext w:val="0"/>
              <w:keepLines w:val="0"/>
              <w:pageBreakBefore w:val="0"/>
              <w:widowControl w:val="0"/>
              <w:kinsoku/>
              <w:wordWrap/>
              <w:overflowPunct/>
              <w:topLinePunct w:val="0"/>
              <w:autoSpaceDE/>
              <w:autoSpaceDN/>
              <w:bidi w:val="0"/>
              <w:adjustRightInd w:val="0"/>
              <w:snapToGrid w:val="0"/>
              <w:spacing w:line="38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现代材料业升级</w:t>
            </w:r>
            <w:r>
              <w:rPr>
                <w:rFonts w:hint="default" w:ascii="Times New Roman" w:hAnsi="Times New Roman" w:eastAsia="仿宋_GB2312" w:cs="Times New Roman"/>
                <w:b/>
                <w:bCs/>
                <w:color w:val="auto"/>
                <w:spacing w:val="0"/>
                <w:kern w:val="2"/>
                <w:sz w:val="24"/>
                <w:szCs w:val="24"/>
                <w:vertAlign w:val="baseline"/>
                <w:lang w:val="en-US" w:eastAsia="zh-CN" w:bidi="ar-SA"/>
              </w:rPr>
              <w:t>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w:t>
            </w:r>
            <w:r>
              <w:rPr>
                <w:rFonts w:hint="default" w:ascii="Times New Roman" w:hAnsi="Times New Roman" w:cs="Times New Roman"/>
                <w:b w:val="0"/>
                <w:bCs w:val="0"/>
                <w:color w:val="auto"/>
                <w:spacing w:val="0"/>
                <w:kern w:val="2"/>
                <w:sz w:val="24"/>
                <w:szCs w:val="24"/>
                <w:vertAlign w:val="baseline"/>
                <w:lang w:val="en-US" w:eastAsia="zh-CN" w:bidi="ar-SA"/>
              </w:rPr>
              <w:t>国有标准化砂石厂基坑砂综合利用加工、生物基纤维材料（医用纺织）生产、绿色可降解新材料（玻璃纸）产业化等项目。</w:t>
            </w:r>
          </w:p>
          <w:p w14:paraId="40300FA4">
            <w:pPr>
              <w:keepNext w:val="0"/>
              <w:keepLines w:val="0"/>
              <w:pageBreakBefore w:val="0"/>
              <w:widowControl w:val="0"/>
              <w:kinsoku/>
              <w:wordWrap/>
              <w:overflowPunct/>
              <w:topLinePunct w:val="0"/>
              <w:autoSpaceDE/>
              <w:autoSpaceDN/>
              <w:bidi w:val="0"/>
              <w:adjustRightInd w:val="0"/>
              <w:snapToGrid w:val="0"/>
              <w:spacing w:line="380" w:lineRule="exact"/>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都市轻工业</w:t>
            </w:r>
            <w:r>
              <w:rPr>
                <w:rFonts w:hint="default" w:ascii="Times New Roman" w:hAnsi="Times New Roman" w:cs="Times New Roman"/>
                <w:b/>
                <w:bCs/>
                <w:color w:val="auto"/>
                <w:spacing w:val="0"/>
                <w:kern w:val="2"/>
                <w:sz w:val="24"/>
                <w:szCs w:val="24"/>
                <w:vertAlign w:val="baseline"/>
                <w:lang w:val="en-US" w:eastAsia="zh-CN" w:bidi="ar-SA"/>
              </w:rPr>
              <w:t>培育</w:t>
            </w:r>
            <w:r>
              <w:rPr>
                <w:rFonts w:hint="default" w:ascii="Times New Roman" w:hAnsi="Times New Roman" w:eastAsia="仿宋_GB2312" w:cs="Times New Roman"/>
                <w:b/>
                <w:bCs/>
                <w:color w:val="auto"/>
                <w:spacing w:val="0"/>
                <w:kern w:val="2"/>
                <w:sz w:val="24"/>
                <w:szCs w:val="24"/>
                <w:vertAlign w:val="baseline"/>
                <w:lang w:val="en-US" w:eastAsia="zh-CN" w:bidi="ar-SA"/>
              </w:rPr>
              <w:t>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依托闲置楼宇资源，发展服饰加工、包装印刷、</w:t>
            </w:r>
            <w:r>
              <w:rPr>
                <w:rFonts w:hint="default" w:ascii="Times New Roman" w:hAnsi="Times New Roman" w:cs="Times New Roman"/>
                <w:b w:val="0"/>
                <w:bCs w:val="0"/>
                <w:color w:val="auto"/>
                <w:spacing w:val="0"/>
                <w:kern w:val="2"/>
                <w:sz w:val="24"/>
                <w:szCs w:val="24"/>
                <w:vertAlign w:val="baseline"/>
                <w:lang w:val="en-US" w:eastAsia="zh-CN" w:bidi="ar-SA"/>
              </w:rPr>
              <w:t>工艺品加工</w:t>
            </w:r>
            <w:r>
              <w:rPr>
                <w:rFonts w:hint="default" w:ascii="Times New Roman" w:hAnsi="Times New Roman" w:eastAsia="仿宋_GB2312" w:cs="Times New Roman"/>
                <w:b w:val="0"/>
                <w:bCs w:val="0"/>
                <w:color w:val="auto"/>
                <w:spacing w:val="0"/>
                <w:kern w:val="2"/>
                <w:sz w:val="24"/>
                <w:szCs w:val="24"/>
                <w:vertAlign w:val="baseline"/>
                <w:lang w:val="en-US" w:eastAsia="zh-CN" w:bidi="ar-SA"/>
              </w:rPr>
              <w:t>等产业。建设</w:t>
            </w:r>
            <w:r>
              <w:rPr>
                <w:rFonts w:hint="default" w:ascii="Times New Roman" w:hAnsi="Times New Roman" w:cs="Times New Roman"/>
                <w:b w:val="0"/>
                <w:bCs w:val="0"/>
                <w:color w:val="auto"/>
                <w:spacing w:val="0"/>
                <w:kern w:val="2"/>
                <w:sz w:val="24"/>
                <w:szCs w:val="24"/>
                <w:vertAlign w:val="baseline"/>
                <w:lang w:val="en-US" w:eastAsia="zh-CN" w:bidi="ar-SA"/>
              </w:rPr>
              <w:t>汉中市5G全智能服装智造、</w:t>
            </w:r>
            <w:r>
              <w:rPr>
                <w:rFonts w:hint="default" w:ascii="Times New Roman" w:hAnsi="Times New Roman" w:eastAsia="仿宋_GB2312" w:cs="Times New Roman"/>
                <w:b w:val="0"/>
                <w:bCs w:val="0"/>
                <w:color w:val="auto"/>
                <w:spacing w:val="0"/>
                <w:kern w:val="2"/>
                <w:sz w:val="24"/>
                <w:szCs w:val="24"/>
                <w:vertAlign w:val="baseline"/>
                <w:lang w:val="en-US" w:eastAsia="zh-CN" w:bidi="ar-SA"/>
              </w:rPr>
              <w:t>铺镇绿色包装材料生产基地</w:t>
            </w:r>
            <w:r>
              <w:rPr>
                <w:rFonts w:hint="default" w:ascii="Times New Roman" w:hAnsi="Times New Roman" w:cs="Times New Roman"/>
                <w:b w:val="0"/>
                <w:bCs w:val="0"/>
                <w:color w:val="auto"/>
                <w:spacing w:val="0"/>
                <w:kern w:val="2"/>
                <w:sz w:val="24"/>
                <w:szCs w:val="24"/>
                <w:vertAlign w:val="baseline"/>
                <w:lang w:val="en-US" w:eastAsia="zh-CN" w:bidi="ar-SA"/>
              </w:rPr>
              <w:t>、宗营木器加工厂改扩建、服装辅料配件生产等项目。</w:t>
            </w:r>
          </w:p>
        </w:tc>
      </w:tr>
    </w:tbl>
    <w:p w14:paraId="7147CA9D">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CESI黑体-GB2312" w:hAnsi="CESI黑体-GB2312" w:eastAsia="CESI黑体-GB2312" w:cs="CESI黑体-GB2312"/>
          <w:lang w:val="en-US" w:eastAsia="zh-CN"/>
        </w:rPr>
      </w:pPr>
      <w:bookmarkStart w:id="75" w:name="_Toc13793"/>
      <w:bookmarkStart w:id="76" w:name="_Toc13647"/>
      <w:bookmarkStart w:id="77" w:name="_Toc8627"/>
      <w:r>
        <w:rPr>
          <w:rFonts w:hint="eastAsia" w:ascii="CESI黑体-GB2312" w:hAnsi="CESI黑体-GB2312" w:eastAsia="CESI黑体-GB2312" w:cs="CESI黑体-GB2312"/>
          <w:lang w:val="en-US" w:eastAsia="zh-CN"/>
        </w:rPr>
        <w:t xml:space="preserve">第三节  </w:t>
      </w:r>
      <w:bookmarkEnd w:id="75"/>
      <w:bookmarkEnd w:id="76"/>
      <w:r>
        <w:rPr>
          <w:rFonts w:hint="eastAsia" w:ascii="CESI黑体-GB2312" w:hAnsi="CESI黑体-GB2312" w:eastAsia="CESI黑体-GB2312" w:cs="CESI黑体-GB2312"/>
          <w:lang w:val="en-US" w:eastAsia="zh-CN"/>
        </w:rPr>
        <w:t>培育壮大战略性新兴产业</w:t>
      </w:r>
      <w:bookmarkEnd w:id="77"/>
    </w:p>
    <w:p w14:paraId="372D657F">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坚持前瞻部署、创新驱动、应用牵引，加快发展新能源、电子信息、节能环保、生物医药、低空经济、新材料等战略性新兴产业，壮大产业规模，形成新的经济增长点。</w:t>
      </w:r>
    </w:p>
    <w:p w14:paraId="7D5A1AE3">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78" w:name="_Toc12484"/>
      <w:bookmarkStart w:id="79" w:name="_Toc24795"/>
      <w:r>
        <w:rPr>
          <w:rFonts w:hint="default" w:ascii="Times New Roman" w:hAnsi="Times New Roman" w:eastAsia="黑体" w:cs="Times New Roman"/>
          <w:b w:val="0"/>
          <w:bCs/>
          <w:color w:val="auto"/>
          <w:sz w:val="32"/>
          <w:szCs w:val="32"/>
          <w:lang w:val="en-US" w:eastAsia="zh-CN"/>
        </w:rPr>
        <w:t>一、电子信息产业</w:t>
      </w:r>
      <w:bookmarkEnd w:id="78"/>
      <w:bookmarkEnd w:id="79"/>
    </w:p>
    <w:p w14:paraId="44AC8580">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lang w:val="en-US" w:eastAsia="zh-CN"/>
        </w:rPr>
      </w:pPr>
      <w:r>
        <w:rPr>
          <w:rFonts w:hint="default" w:ascii="Times New Roman" w:hAnsi="Times New Roman" w:eastAsia="楷体_GB2312" w:cs="Times New Roman"/>
          <w:b w:val="0"/>
          <w:bCs w:val="0"/>
          <w:color w:val="auto"/>
          <w:sz w:val="32"/>
          <w:szCs w:val="32"/>
          <w:lang w:val="en-US" w:eastAsia="zh-CN"/>
        </w:rPr>
        <w:t>智能传感和控制产业。</w:t>
      </w:r>
      <w:r>
        <w:rPr>
          <w:rFonts w:hint="default" w:ascii="Times New Roman" w:hAnsi="Times New Roman" w:eastAsia="仿宋_GB2312" w:cs="Times New Roman"/>
          <w:color w:val="auto"/>
        </w:rPr>
        <w:t>支持中航电测新型传感器开发及产品升级改造，引进一批优秀传感器企业，研制开发传感器及敏感元器件、视频监控、IC卡智能仪器仪表、智能化量具、无线射频识别（RFID）以及控制系统等。</w:t>
      </w:r>
      <w:r>
        <w:rPr>
          <w:rFonts w:hint="default" w:ascii="Times New Roman" w:hAnsi="Times New Roman" w:cs="Times New Roman"/>
          <w:color w:val="auto"/>
          <w:lang w:val="en-US" w:eastAsia="zh-CN"/>
        </w:rPr>
        <w:t>到2030年，实现电子信息产值5亿元。</w:t>
      </w:r>
    </w:p>
    <w:p w14:paraId="3B9EB847">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b/>
          <w:bCs/>
          <w:color w:val="auto"/>
        </w:rPr>
      </w:pPr>
      <w:r>
        <w:rPr>
          <w:rFonts w:hint="default" w:ascii="Times New Roman" w:hAnsi="Times New Roman" w:eastAsia="楷体_GB2312" w:cs="Times New Roman"/>
          <w:b w:val="0"/>
          <w:bCs w:val="0"/>
          <w:color w:val="auto"/>
          <w:sz w:val="32"/>
          <w:szCs w:val="32"/>
          <w:lang w:val="en-US" w:eastAsia="zh-CN"/>
        </w:rPr>
        <w:t>智能终端产业。</w:t>
      </w:r>
      <w:r>
        <w:rPr>
          <w:rFonts w:hint="default" w:ascii="Times New Roman" w:hAnsi="Times New Roman" w:eastAsia="仿宋_GB2312" w:cs="Times New Roman"/>
          <w:color w:val="auto"/>
        </w:rPr>
        <w:t>引进一批智能家居、智能安防制造类企业，配套引进智能终端、可穿戴设备、虚拟现实设备等电子信息产品制造企业和具有虚拟现实核心技术的企业。</w:t>
      </w:r>
    </w:p>
    <w:p w14:paraId="1EA0E742">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rPr>
      </w:pPr>
      <w:r>
        <w:rPr>
          <w:rFonts w:hint="default" w:ascii="Times New Roman" w:hAnsi="Times New Roman" w:eastAsia="楷体_GB2312" w:cs="Times New Roman"/>
          <w:b w:val="0"/>
          <w:bCs w:val="0"/>
          <w:color w:val="auto"/>
          <w:sz w:val="32"/>
          <w:szCs w:val="32"/>
          <w:lang w:val="en-US" w:eastAsia="zh-CN"/>
        </w:rPr>
        <w:t>电子元器件产业。</w:t>
      </w:r>
      <w:r>
        <w:rPr>
          <w:rFonts w:hint="default" w:ascii="Times New Roman" w:hAnsi="Times New Roman" w:eastAsia="仿宋_GB2312" w:cs="Times New Roman"/>
          <w:color w:val="auto"/>
        </w:rPr>
        <w:t>招商引资半导体应用材料、5G超高光纤材料、电子级晶硅材料、集成电路用硅材料等优质企业和项目，大力发展传感器、电阻器、继电器、集成电路等关键元器件。</w:t>
      </w:r>
    </w:p>
    <w:p w14:paraId="46B89AB0">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rPr>
      </w:pPr>
      <w:r>
        <w:rPr>
          <w:rFonts w:hint="default" w:ascii="Times New Roman" w:hAnsi="Times New Roman" w:eastAsia="楷体_GB2312" w:cs="Times New Roman"/>
          <w:b w:val="0"/>
          <w:bCs w:val="0"/>
          <w:color w:val="auto"/>
          <w:sz w:val="32"/>
          <w:szCs w:val="32"/>
          <w:lang w:val="en-US" w:eastAsia="zh-CN"/>
        </w:rPr>
        <w:t>信息技术服务业。</w:t>
      </w:r>
      <w:r>
        <w:rPr>
          <w:rFonts w:hint="default" w:ascii="Times New Roman" w:hAnsi="Times New Roman" w:eastAsia="仿宋_GB2312" w:cs="Times New Roman"/>
          <w:color w:val="auto"/>
        </w:rPr>
        <w:t>引进国内一流的软件企业，鼓励企业研发设计、工艺、仿真、管理、控制类工业软件，开发制造执行系统、企业资源管理软件、供应链管理软件、客户关系管理软件</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CRM</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等企业管理软件。培育系统运维服务、IT服务管理、信息安全服务、软件运营服务、呼叫服务等信息技术服务企业。</w:t>
      </w:r>
    </w:p>
    <w:p w14:paraId="4E03D7E4">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highlight w:val="none"/>
          <w:lang w:val="en-US" w:eastAsia="zh-CN"/>
        </w:rPr>
      </w:pPr>
      <w:r>
        <w:rPr>
          <w:rFonts w:hint="default" w:ascii="Times New Roman" w:hAnsi="Times New Roman" w:eastAsia="楷体_GB2312" w:cs="Times New Roman"/>
          <w:b w:val="0"/>
          <w:bCs w:val="0"/>
          <w:color w:val="auto"/>
          <w:sz w:val="32"/>
          <w:szCs w:val="32"/>
          <w:lang w:val="en-US" w:eastAsia="zh-CN"/>
        </w:rPr>
        <w:t>大数据产业。</w:t>
      </w:r>
      <w:r>
        <w:rPr>
          <w:rFonts w:hint="default" w:ascii="Times New Roman" w:hAnsi="Times New Roman" w:eastAsia="仿宋_GB2312" w:cs="Times New Roman"/>
          <w:color w:val="auto"/>
          <w:highlight w:val="none"/>
          <w:lang w:val="en-US" w:eastAsia="zh-CN"/>
        </w:rPr>
        <w:t>重点发展大数据存储相关产业，完善网络金融、研发平台、交通、生活等配套基础设施，引进和培育一批</w:t>
      </w:r>
      <w:r>
        <w:rPr>
          <w:rFonts w:hint="default" w:ascii="Times New Roman" w:hAnsi="Times New Roman" w:eastAsia="仿宋_GB2312" w:cs="Times New Roman"/>
          <w:color w:val="auto"/>
          <w:sz w:val="32"/>
          <w:szCs w:val="32"/>
          <w:lang w:val="en-US" w:eastAsia="zh-CN"/>
        </w:rPr>
        <w:t>具备提供大数据技术、产品、服务和应用解决方案能力的大数据专业服务骨干企业</w:t>
      </w:r>
      <w:r>
        <w:rPr>
          <w:rFonts w:hint="default" w:ascii="Times New Roman" w:hAnsi="Times New Roman" w:eastAsia="仿宋_GB2312" w:cs="Times New Roman"/>
          <w:color w:val="auto"/>
          <w:highlight w:val="none"/>
          <w:lang w:val="en-US" w:eastAsia="zh-CN"/>
        </w:rPr>
        <w:t>。</w:t>
      </w:r>
    </w:p>
    <w:p w14:paraId="602E847D">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80" w:name="_Toc4188"/>
      <w:bookmarkStart w:id="81" w:name="_Toc32051"/>
      <w:r>
        <w:rPr>
          <w:rFonts w:hint="default" w:ascii="Times New Roman" w:hAnsi="Times New Roman" w:eastAsia="黑体" w:cs="Times New Roman"/>
          <w:b w:val="0"/>
          <w:bCs/>
          <w:color w:val="auto"/>
          <w:sz w:val="32"/>
          <w:szCs w:val="32"/>
          <w:lang w:val="en-US" w:eastAsia="zh-CN"/>
        </w:rPr>
        <w:t>二、生物医药</w:t>
      </w:r>
      <w:bookmarkEnd w:id="80"/>
      <w:bookmarkEnd w:id="81"/>
      <w:r>
        <w:rPr>
          <w:rFonts w:hint="default" w:ascii="Times New Roman" w:hAnsi="Times New Roman" w:eastAsia="黑体" w:cs="Times New Roman"/>
          <w:b w:val="0"/>
          <w:bCs/>
          <w:color w:val="auto"/>
          <w:sz w:val="32"/>
          <w:szCs w:val="32"/>
          <w:lang w:val="en-US" w:eastAsia="zh-CN"/>
        </w:rPr>
        <w:t>产业</w:t>
      </w:r>
    </w:p>
    <w:p w14:paraId="3A042838">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eastAsia="楷体_GB2312" w:cs="Times New Roman"/>
          <w:b w:val="0"/>
          <w:bCs w:val="0"/>
          <w:color w:val="auto"/>
          <w:sz w:val="32"/>
          <w:szCs w:val="32"/>
          <w:lang w:val="en-US" w:eastAsia="zh-CN"/>
        </w:rPr>
        <w:t>高端原料药和制剂。</w:t>
      </w:r>
      <w:r>
        <w:rPr>
          <w:rFonts w:hint="default" w:ascii="Times New Roman" w:hAnsi="Times New Roman" w:cs="Times New Roman"/>
          <w:color w:val="auto"/>
          <w:szCs w:val="32"/>
        </w:rPr>
        <w:t>支持汉王药业</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lang w:val="en-US" w:eastAsia="zh-CN"/>
        </w:rPr>
        <w:t>汉江药业、秦巴药业</w:t>
      </w:r>
      <w:r>
        <w:rPr>
          <w:rFonts w:hint="default" w:ascii="Times New Roman" w:hAnsi="Times New Roman" w:cs="Times New Roman"/>
          <w:color w:val="auto"/>
          <w:szCs w:val="32"/>
        </w:rPr>
        <w:t>等骨干企业攻克并掌握一批关键核心技术，大力发展生物技术药物、小分子药物、生物诊断试剂等，积极发展与主导原料药相匹配的精细化工产品、医药中间体和新型药用辅料。</w:t>
      </w:r>
    </w:p>
    <w:p w14:paraId="3541E74D">
      <w:pPr>
        <w:keepNext w:val="0"/>
        <w:keepLines w:val="0"/>
        <w:pageBreakBefore w:val="0"/>
        <w:widowControl w:val="0"/>
        <w:kinsoku/>
        <w:wordWrap/>
        <w:overflowPunct/>
        <w:topLinePunct w:val="0"/>
        <w:autoSpaceDE/>
        <w:autoSpaceDN/>
        <w:bidi w:val="0"/>
        <w:adjustRightInd/>
        <w:snapToGrid/>
        <w:spacing w:line="240" w:lineRule="auto"/>
        <w:ind w:firstLine="625"/>
        <w:jc w:val="both"/>
        <w:textAlignment w:val="center"/>
        <w:rPr>
          <w:rFonts w:hint="default" w:ascii="Times New Roman" w:hAnsi="Times New Roman" w:cs="Times New Roman"/>
          <w:color w:val="auto"/>
          <w:szCs w:val="32"/>
        </w:rPr>
      </w:pPr>
      <w:r>
        <w:rPr>
          <w:rFonts w:hint="default" w:ascii="Times New Roman" w:hAnsi="Times New Roman" w:eastAsia="楷体_GB2312" w:cs="Times New Roman"/>
          <w:b w:val="0"/>
          <w:bCs w:val="0"/>
          <w:color w:val="auto"/>
          <w:sz w:val="32"/>
          <w:szCs w:val="32"/>
          <w:lang w:val="en-US" w:eastAsia="zh-CN"/>
        </w:rPr>
        <w:t>医疗器械。</w:t>
      </w:r>
      <w:r>
        <w:rPr>
          <w:rFonts w:hint="default" w:ascii="Times New Roman" w:hAnsi="Times New Roman" w:cs="Times New Roman"/>
          <w:color w:val="auto"/>
          <w:szCs w:val="32"/>
        </w:rPr>
        <w:t>积极引入医学影像设备、体外诊断设备、新型生物医学材料等产业化项目。发展智能健康手环、健身腕带、智能血压仪、智能血糖仪、智能体温计等智能医疗终端制造。结合大数据产业，发展儿童及病人陪护机器人</w:t>
      </w:r>
      <w:r>
        <w:rPr>
          <w:rFonts w:hint="default" w:ascii="Times New Roman" w:hAnsi="Times New Roman" w:cs="Times New Roman"/>
          <w:color w:val="auto"/>
          <w:szCs w:val="32"/>
          <w:lang w:eastAsia="zh-CN"/>
        </w:rPr>
        <w:t>、可</w:t>
      </w:r>
      <w:r>
        <w:rPr>
          <w:rFonts w:hint="default" w:ascii="Times New Roman" w:hAnsi="Times New Roman" w:cs="Times New Roman"/>
          <w:color w:val="auto"/>
          <w:szCs w:val="32"/>
        </w:rPr>
        <w:t>穿戴设备、家庭健康、医用传感器等智慧医疗产品。</w:t>
      </w:r>
    </w:p>
    <w:p w14:paraId="59A5624C">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82" w:name="_Toc14134"/>
      <w:bookmarkStart w:id="83" w:name="_Toc24877"/>
      <w:r>
        <w:rPr>
          <w:rFonts w:hint="default" w:ascii="Times New Roman" w:hAnsi="Times New Roman" w:eastAsia="黑体" w:cs="Times New Roman"/>
          <w:b w:val="0"/>
          <w:bCs/>
          <w:color w:val="auto"/>
          <w:sz w:val="32"/>
          <w:szCs w:val="32"/>
          <w:lang w:val="en-US" w:eastAsia="zh-CN"/>
        </w:rPr>
        <w:t>三、新能源产业</w:t>
      </w:r>
      <w:bookmarkEnd w:id="82"/>
      <w:bookmarkEnd w:id="83"/>
    </w:p>
    <w:p w14:paraId="77819B51">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Cs w:val="32"/>
          <w:lang w:val="en-US" w:eastAsia="zh-CN"/>
        </w:rPr>
      </w:pPr>
      <w:r>
        <w:rPr>
          <w:rFonts w:hint="default" w:ascii="Times New Roman" w:hAnsi="Times New Roman" w:eastAsia="楷体_GB2312" w:cs="Times New Roman"/>
          <w:b w:val="0"/>
          <w:bCs w:val="0"/>
          <w:color w:val="auto"/>
          <w:sz w:val="32"/>
          <w:szCs w:val="32"/>
          <w:lang w:val="en-US" w:eastAsia="zh-CN"/>
        </w:rPr>
        <w:t>光伏产业。</w:t>
      </w:r>
      <w:r>
        <w:rPr>
          <w:rFonts w:hint="default" w:ascii="Times New Roman" w:hAnsi="Times New Roman" w:eastAsia="仿宋_GB2312" w:cs="Times New Roman"/>
          <w:color w:val="auto"/>
          <w:szCs w:val="32"/>
          <w:lang w:val="en-US" w:eastAsia="zh-CN"/>
        </w:rPr>
        <w:t>坚持集中式与分布式并举，推动光伏发电有序平稳发展，在乡村闲置土地、公共建筑屋顶等适宜区域布局建设光伏发电项目，推动光伏项目规模化、规范化建设，持续提高新能源在终端能源消费中的供给比重。</w:t>
      </w:r>
    </w:p>
    <w:p w14:paraId="027B9C2F">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kern w:val="0"/>
          <w:szCs w:val="32"/>
        </w:rPr>
      </w:pPr>
      <w:r>
        <w:rPr>
          <w:rFonts w:hint="default" w:ascii="Times New Roman" w:hAnsi="Times New Roman" w:eastAsia="楷体_GB2312" w:cs="Times New Roman"/>
          <w:b w:val="0"/>
          <w:bCs w:val="0"/>
          <w:color w:val="auto"/>
          <w:sz w:val="32"/>
          <w:szCs w:val="32"/>
          <w:lang w:val="en-US" w:eastAsia="zh-CN"/>
        </w:rPr>
        <w:t>生物质能。</w:t>
      </w:r>
      <w:r>
        <w:rPr>
          <w:rFonts w:hint="default" w:ascii="Times New Roman" w:hAnsi="Times New Roman" w:eastAsia="仿宋_GB2312" w:cs="Times New Roman"/>
          <w:color w:val="auto"/>
          <w:kern w:val="0"/>
          <w:szCs w:val="32"/>
        </w:rPr>
        <w:t>积极发展利用生物质能，加强城市生活垃圾、农作物秸秆和畜禽废弃物收集转运配套体系建设，加快生活垃圾焚烧发电等项目建设，形成多元化生物质能发展模式。</w:t>
      </w:r>
    </w:p>
    <w:p w14:paraId="49E92974">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kern w:val="0"/>
          <w:szCs w:val="32"/>
          <w:lang w:val="en-US" w:eastAsia="zh-CN"/>
        </w:rPr>
      </w:pPr>
      <w:r>
        <w:rPr>
          <w:rFonts w:hint="default" w:ascii="Times New Roman" w:hAnsi="Times New Roman" w:eastAsia="楷体_GB2312" w:cs="Times New Roman"/>
          <w:b w:val="0"/>
          <w:bCs w:val="0"/>
          <w:color w:val="auto"/>
          <w:sz w:val="32"/>
          <w:szCs w:val="32"/>
          <w:lang w:val="en-US" w:eastAsia="zh-CN"/>
        </w:rPr>
        <w:t>新型储能。</w:t>
      </w:r>
      <w:r>
        <w:rPr>
          <w:rFonts w:hint="default" w:ascii="Times New Roman" w:hAnsi="Times New Roman" w:eastAsia="仿宋_GB2312" w:cs="Times New Roman"/>
          <w:color w:val="auto"/>
          <w:sz w:val="32"/>
          <w:szCs w:val="32"/>
          <w:highlight w:val="none"/>
        </w:rPr>
        <w:t>推动电源侧储能发展，聚焦用户侧与电网侧配套需求，大力引进电化学储能项目，重点布局新能源电站配套储能、电网关键节点共享储能及工商业用户侧储能，提升储能对新能源消纳的支撑能力。引进飞轮储能关键设备制造，发展能量型、飞轮关键电源、脉冲功率型和兆级功率型飞轮储能组块</w:t>
      </w:r>
    </w:p>
    <w:p w14:paraId="442E64EC">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84" w:name="_Toc13763"/>
      <w:bookmarkStart w:id="85" w:name="_Toc28333"/>
      <w:r>
        <w:rPr>
          <w:rFonts w:hint="default" w:ascii="Times New Roman" w:hAnsi="Times New Roman" w:eastAsia="黑体" w:cs="Times New Roman"/>
          <w:b w:val="0"/>
          <w:bCs/>
          <w:color w:val="auto"/>
          <w:sz w:val="32"/>
          <w:szCs w:val="32"/>
          <w:lang w:val="en-US" w:eastAsia="zh-CN"/>
        </w:rPr>
        <w:t>四、节能环保业</w:t>
      </w:r>
      <w:bookmarkEnd w:id="84"/>
      <w:bookmarkEnd w:id="85"/>
    </w:p>
    <w:p w14:paraId="12650219">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lang w:eastAsia="zh-CN"/>
        </w:rPr>
      </w:pPr>
      <w:r>
        <w:rPr>
          <w:rFonts w:hint="default" w:ascii="Times New Roman" w:hAnsi="Times New Roman" w:eastAsia="楷体_GB2312" w:cs="Times New Roman"/>
          <w:b w:val="0"/>
          <w:bCs w:val="0"/>
          <w:color w:val="auto"/>
          <w:sz w:val="32"/>
          <w:szCs w:val="32"/>
          <w:lang w:val="en-US" w:eastAsia="zh-CN"/>
        </w:rPr>
        <w:t>资源循环利用。</w:t>
      </w:r>
      <w:r>
        <w:rPr>
          <w:rFonts w:hint="default" w:ascii="Times New Roman" w:hAnsi="Times New Roman" w:eastAsia="仿宋_GB2312" w:cs="Times New Roman"/>
          <w:color w:val="auto"/>
          <w:lang w:val="en-US" w:eastAsia="zh-CN"/>
        </w:rPr>
        <w:t>围绕</w:t>
      </w:r>
      <w:r>
        <w:rPr>
          <w:rFonts w:hint="default" w:ascii="Times New Roman" w:hAnsi="Times New Roman" w:eastAsia="仿宋_GB2312" w:cs="Times New Roman"/>
          <w:color w:val="auto"/>
        </w:rPr>
        <w:t>汉中市生态循环经济</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静脉</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产业园</w:t>
      </w:r>
      <w:r>
        <w:rPr>
          <w:rFonts w:hint="default" w:ascii="Times New Roman" w:hAnsi="Times New Roman" w:eastAsia="仿宋_GB2312" w:cs="Times New Roman"/>
          <w:color w:val="auto"/>
          <w:lang w:val="en-US" w:eastAsia="zh-CN"/>
        </w:rPr>
        <w:t>规划</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推进建设</w:t>
      </w:r>
      <w:r>
        <w:rPr>
          <w:rFonts w:hint="default" w:ascii="Times New Roman" w:hAnsi="Times New Roman" w:eastAsia="仿宋_GB2312" w:cs="Times New Roman"/>
          <w:color w:val="auto"/>
        </w:rPr>
        <w:t>生活垃圾、餐厨垃圾、建筑垃圾、医疗废弃物、工业废弃物、</w:t>
      </w:r>
      <w:r>
        <w:rPr>
          <w:rFonts w:hint="default" w:ascii="Times New Roman" w:hAnsi="Times New Roman" w:eastAsia="仿宋_GB2312" w:cs="Times New Roman"/>
          <w:color w:val="auto"/>
          <w:lang w:val="en-US" w:eastAsia="zh-CN"/>
        </w:rPr>
        <w:t>再生资源回收</w:t>
      </w:r>
      <w:r>
        <w:rPr>
          <w:rFonts w:hint="default" w:ascii="Times New Roman" w:hAnsi="Times New Roman" w:eastAsia="仿宋_GB2312" w:cs="Times New Roman"/>
          <w:color w:val="auto"/>
        </w:rPr>
        <w:t>等综合利用项目</w:t>
      </w:r>
      <w:r>
        <w:rPr>
          <w:rFonts w:hint="default" w:ascii="Times New Roman" w:hAnsi="Times New Roman" w:cs="Times New Roman"/>
          <w:color w:val="auto"/>
          <w:lang w:eastAsia="zh-CN"/>
        </w:rPr>
        <w:t>。</w:t>
      </w:r>
      <w:r>
        <w:rPr>
          <w:rFonts w:hint="default" w:ascii="Times New Roman" w:hAnsi="Times New Roman" w:cs="Times New Roman"/>
          <w:color w:val="auto"/>
          <w:szCs w:val="32"/>
          <w:lang w:val="en-US" w:eastAsia="zh-CN"/>
        </w:rPr>
        <w:t>建立健全退役动力电池回收、梯级利用、再制造的循环利用体系。</w:t>
      </w:r>
    </w:p>
    <w:p w14:paraId="5A5551E2">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lang w:val="en-US" w:eastAsia="zh-CN"/>
        </w:rPr>
      </w:pPr>
      <w:r>
        <w:rPr>
          <w:rFonts w:hint="default" w:ascii="Times New Roman" w:hAnsi="Times New Roman" w:eastAsia="楷体_GB2312" w:cs="Times New Roman"/>
          <w:b w:val="0"/>
          <w:bCs w:val="0"/>
          <w:color w:val="auto"/>
          <w:sz w:val="32"/>
          <w:szCs w:val="32"/>
          <w:lang w:val="en-US" w:eastAsia="zh-CN"/>
        </w:rPr>
        <w:t>节能环保装备制造。</w:t>
      </w:r>
      <w:r>
        <w:rPr>
          <w:rFonts w:hint="default" w:ascii="Times New Roman" w:hAnsi="Times New Roman" w:eastAsia="仿宋_GB2312" w:cs="Times New Roman"/>
          <w:color w:val="auto"/>
          <w:lang w:val="en-US" w:eastAsia="zh-CN"/>
        </w:rPr>
        <w:t>重点发展水污染防治装备、固体废弃物处理、资源综合利用装备、环保新材料、环境监测仪器、废水垃圾处理等领域关键共性技术及装备。</w:t>
      </w:r>
    </w:p>
    <w:p w14:paraId="01039C09">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rPr>
      </w:pPr>
      <w:r>
        <w:rPr>
          <w:rFonts w:hint="default" w:ascii="Times New Roman" w:hAnsi="Times New Roman" w:eastAsia="楷体_GB2312" w:cs="Times New Roman"/>
          <w:b w:val="0"/>
          <w:bCs w:val="0"/>
          <w:color w:val="auto"/>
          <w:sz w:val="32"/>
          <w:szCs w:val="32"/>
          <w:lang w:val="en-US" w:eastAsia="zh-CN"/>
        </w:rPr>
        <w:t>节能环保服务。</w:t>
      </w:r>
      <w:r>
        <w:rPr>
          <w:rFonts w:hint="default" w:ascii="Times New Roman" w:hAnsi="Times New Roman" w:eastAsia="仿宋_GB2312" w:cs="Times New Roman"/>
          <w:color w:val="auto"/>
          <w:lang w:val="en-US" w:eastAsia="zh-CN"/>
        </w:rPr>
        <w:t>积极推广合同能源管理</w:t>
      </w:r>
      <w:r>
        <w:rPr>
          <w:rFonts w:hint="default" w:ascii="Times New Roman" w:hAnsi="Times New Roman" w:cs="Times New Roman"/>
          <w:color w:val="auto"/>
          <w:lang w:val="en-US" w:eastAsia="zh-CN"/>
        </w:rPr>
        <w:t>等市场化节约能源</w:t>
      </w:r>
      <w:r>
        <w:rPr>
          <w:rFonts w:hint="default" w:ascii="Times New Roman" w:hAnsi="Times New Roman" w:eastAsia="仿宋_GB2312" w:cs="Times New Roman"/>
          <w:color w:val="auto"/>
          <w:lang w:val="en-US" w:eastAsia="zh-CN"/>
        </w:rPr>
        <w:t>服务，培育系统设计、设备成套、工程施工、调试运行和维护管理一条龙服务机构，推进环保设施专业化、社会化运营，扶持环境咨询服务企业发展。</w:t>
      </w:r>
    </w:p>
    <w:p w14:paraId="1957DFD8">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86" w:name="_Toc25563"/>
      <w:bookmarkStart w:id="87" w:name="_Toc5879"/>
      <w:r>
        <w:rPr>
          <w:rFonts w:hint="default" w:ascii="Times New Roman" w:hAnsi="Times New Roman" w:eastAsia="黑体" w:cs="Times New Roman"/>
          <w:b w:val="0"/>
          <w:bCs/>
          <w:color w:val="auto"/>
          <w:sz w:val="32"/>
          <w:szCs w:val="32"/>
          <w:lang w:val="en-US" w:eastAsia="zh-CN"/>
        </w:rPr>
        <w:t>五、新材料产业</w:t>
      </w:r>
      <w:bookmarkEnd w:id="86"/>
      <w:bookmarkEnd w:id="87"/>
    </w:p>
    <w:p w14:paraId="5C03223C">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以航空、汽车、医疗等为重点，加强隐身材料、减震材料、耐磨材料、医用材料等先进材料研究，战略布局3D打印材料、高性能复合材料、硅基半导体材料等，招引半导体应用材料、电子级晶硅材料、集成电路用硅材料等优质企业和项目。</w:t>
      </w:r>
    </w:p>
    <w:p w14:paraId="1F34F226">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88" w:name="_Toc30621"/>
      <w:bookmarkStart w:id="89" w:name="_Toc32165"/>
      <w:r>
        <w:rPr>
          <w:rFonts w:hint="default" w:ascii="Times New Roman" w:hAnsi="Times New Roman" w:eastAsia="黑体" w:cs="Times New Roman"/>
          <w:b w:val="0"/>
          <w:bCs/>
          <w:color w:val="auto"/>
          <w:sz w:val="32"/>
          <w:szCs w:val="32"/>
          <w:lang w:val="en-US" w:eastAsia="zh-CN"/>
        </w:rPr>
        <w:t>六、低空经济</w:t>
      </w:r>
      <w:bookmarkEnd w:id="88"/>
      <w:bookmarkEnd w:id="89"/>
    </w:p>
    <w:p w14:paraId="37AB89BD">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rtl w:val="0"/>
          <w:lang w:val="en-US" w:eastAsia="zh-CN"/>
        </w:rPr>
      </w:pPr>
      <w:r>
        <w:rPr>
          <w:rFonts w:hint="default" w:ascii="Times New Roman" w:hAnsi="Times New Roman" w:eastAsia="楷体_GB2312" w:cs="Times New Roman"/>
          <w:b w:val="0"/>
          <w:bCs w:val="0"/>
          <w:color w:val="auto"/>
          <w:sz w:val="32"/>
          <w:szCs w:val="32"/>
          <w:rtl w:val="0"/>
          <w:lang w:val="en-US" w:eastAsia="zh-CN"/>
        </w:rPr>
        <w:t>低空飞行制造。</w:t>
      </w:r>
      <w:r>
        <w:rPr>
          <w:rFonts w:hint="default" w:ascii="Times New Roman" w:hAnsi="Times New Roman" w:eastAsia="仿宋_GB2312" w:cs="Times New Roman"/>
          <w:color w:val="auto"/>
          <w:sz w:val="32"/>
          <w:szCs w:val="32"/>
          <w:lang w:val="en-US" w:eastAsia="zh-CN"/>
        </w:rPr>
        <w:t>依托陕飞配套产业链和汉中机场，谋划建设低空经济</w:t>
      </w:r>
      <w:r>
        <w:rPr>
          <w:rFonts w:hint="default" w:ascii="Times New Roman" w:hAnsi="Times New Roman" w:cs="Times New Roman"/>
          <w:color w:val="auto"/>
          <w:sz w:val="32"/>
          <w:szCs w:val="32"/>
          <w:lang w:val="en-US" w:eastAsia="zh-CN"/>
        </w:rPr>
        <w:t>集聚区</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tl w:val="0"/>
          <w:lang w:val="en-US" w:eastAsia="zh-CN"/>
        </w:rPr>
        <w:t>依托本地骨干企业与外部资源协同发力，重点发展飞控导航系统、动力系统、复合材料结构件、传感器等制造，加快发展低空飞行器整机组装。</w:t>
      </w:r>
    </w:p>
    <w:p w14:paraId="35195E70">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rtl w:val="0"/>
          <w:lang w:val="en-US" w:eastAsia="zh-CN"/>
        </w:rPr>
      </w:pPr>
      <w:r>
        <w:rPr>
          <w:rFonts w:hint="default" w:ascii="Times New Roman" w:hAnsi="Times New Roman" w:eastAsia="楷体_GB2312" w:cs="Times New Roman"/>
          <w:b w:val="0"/>
          <w:bCs w:val="0"/>
          <w:color w:val="auto"/>
          <w:sz w:val="32"/>
          <w:szCs w:val="32"/>
          <w:rtl w:val="0"/>
          <w:lang w:val="en-US" w:eastAsia="zh-CN"/>
        </w:rPr>
        <w:t>低空应用场景。</w:t>
      </w:r>
      <w:r>
        <w:rPr>
          <w:rFonts w:hint="default" w:ascii="Times New Roman" w:hAnsi="Times New Roman" w:eastAsia="仿宋_GB2312" w:cs="Times New Roman"/>
          <w:color w:val="auto"/>
          <w:sz w:val="32"/>
          <w:szCs w:val="32"/>
          <w:rtl w:val="0"/>
          <w:lang w:val="en-US" w:eastAsia="zh-CN"/>
        </w:rPr>
        <w:t>积极布局低空基础设施网络，支持具备条件的医院、景区、商业综合体等围绕场景需求建设起降设施。</w:t>
      </w:r>
      <w:r>
        <w:rPr>
          <w:rFonts w:hint="default" w:ascii="Times New Roman" w:hAnsi="Times New Roman" w:cs="Times New Roman"/>
          <w:color w:val="auto"/>
          <w:sz w:val="32"/>
          <w:szCs w:val="32"/>
          <w:rtl w:val="0"/>
          <w:lang w:val="en-US" w:eastAsia="zh-CN"/>
        </w:rPr>
        <w:t>广泛</w:t>
      </w:r>
      <w:r>
        <w:rPr>
          <w:rFonts w:hint="default" w:ascii="Times New Roman" w:hAnsi="Times New Roman" w:eastAsia="仿宋_GB2312" w:cs="Times New Roman"/>
          <w:color w:val="auto"/>
          <w:sz w:val="32"/>
          <w:szCs w:val="32"/>
          <w:rtl w:val="0"/>
          <w:lang w:val="en-US" w:eastAsia="zh-CN"/>
        </w:rPr>
        <w:t>拓展低空经济在文旅、农业、城乡治理、应急救援、巡检、物流、测绘等领域的应用，实现以场景应用推动产业转型升级。</w:t>
      </w:r>
    </w:p>
    <w:p w14:paraId="45851E13">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rPr>
      </w:pPr>
      <w:r>
        <w:rPr>
          <w:rFonts w:hint="default" w:ascii="Times New Roman" w:hAnsi="Times New Roman" w:eastAsia="楷体_GB2312" w:cs="Times New Roman"/>
          <w:b w:val="0"/>
          <w:bCs w:val="0"/>
          <w:color w:val="auto"/>
          <w:sz w:val="32"/>
          <w:szCs w:val="32"/>
          <w:rtl w:val="0"/>
          <w:lang w:val="en-US" w:eastAsia="zh-CN"/>
        </w:rPr>
        <w:t>低空配套服务。</w:t>
      </w:r>
      <w:r>
        <w:rPr>
          <w:rFonts w:hint="default" w:ascii="Times New Roman" w:hAnsi="Times New Roman" w:eastAsia="仿宋_GB2312" w:cs="Times New Roman"/>
          <w:color w:val="auto"/>
          <w:sz w:val="32"/>
          <w:szCs w:val="32"/>
          <w:rtl w:val="0"/>
          <w:lang w:val="en-US" w:eastAsia="zh-CN"/>
        </w:rPr>
        <w:t>构建覆盖多旋翼、固定翼、垂直起降飞行器的全机型培训能力，强化高级航拍、精准测绘、应急救援、农林植保等专项技能培训，打造集日常保养、故障诊断、大修翻新、硬件升级于一体的区域性维修服务中心</w:t>
      </w:r>
      <w:r>
        <w:rPr>
          <w:rFonts w:hint="default" w:ascii="Times New Roman" w:hAnsi="Times New Roman" w:cs="Times New Roman"/>
          <w:color w:val="auto"/>
          <w:sz w:val="32"/>
          <w:szCs w:val="32"/>
          <w:rtl w:val="0"/>
          <w:lang w:val="en-US" w:eastAsia="zh-CN"/>
        </w:rPr>
        <w:t>，</w:t>
      </w:r>
      <w:r>
        <w:rPr>
          <w:rFonts w:hint="default" w:ascii="Times New Roman" w:hAnsi="Times New Roman" w:eastAsia="仿宋_GB2312" w:cs="Times New Roman"/>
          <w:color w:val="auto"/>
        </w:rPr>
        <w:t>打造立足</w:t>
      </w:r>
      <w:r>
        <w:rPr>
          <w:rFonts w:hint="default" w:ascii="Times New Roman" w:hAnsi="Times New Roman" w:eastAsia="仿宋_GB2312" w:cs="Times New Roman"/>
          <w:color w:val="auto"/>
          <w:lang w:val="en-US" w:eastAsia="zh-CN"/>
        </w:rPr>
        <w:t>汉台</w:t>
      </w:r>
      <w:r>
        <w:rPr>
          <w:rFonts w:hint="default" w:ascii="Times New Roman" w:hAnsi="Times New Roman" w:eastAsia="仿宋_GB2312" w:cs="Times New Roman"/>
          <w:color w:val="auto"/>
        </w:rPr>
        <w:t>、辐射</w:t>
      </w:r>
      <w:r>
        <w:rPr>
          <w:rFonts w:hint="default" w:ascii="Times New Roman" w:hAnsi="Times New Roman" w:eastAsia="仿宋_GB2312" w:cs="Times New Roman"/>
          <w:color w:val="auto"/>
          <w:lang w:val="en-US" w:eastAsia="zh-CN"/>
        </w:rPr>
        <w:t>陕甘川渝</w:t>
      </w:r>
      <w:r>
        <w:rPr>
          <w:rFonts w:hint="default" w:ascii="Times New Roman" w:hAnsi="Times New Roman" w:eastAsia="仿宋_GB2312" w:cs="Times New Roman"/>
          <w:color w:val="auto"/>
        </w:rPr>
        <w:t>、面向全国的</w:t>
      </w:r>
      <w:r>
        <w:rPr>
          <w:rFonts w:hint="default" w:ascii="Times New Roman" w:hAnsi="Times New Roman" w:eastAsia="仿宋_GB2312" w:cs="Times New Roman"/>
          <w:color w:val="auto"/>
          <w:lang w:eastAsia="zh-CN"/>
        </w:rPr>
        <w:t>低空</w:t>
      </w:r>
      <w:r>
        <w:rPr>
          <w:rFonts w:hint="default" w:ascii="Times New Roman" w:hAnsi="Times New Roman" w:eastAsia="仿宋_GB2312" w:cs="Times New Roman"/>
          <w:color w:val="auto"/>
        </w:rPr>
        <w:t>经济发展新高地。</w:t>
      </w:r>
    </w:p>
    <w:tbl>
      <w:tblPr>
        <w:tblStyle w:val="15"/>
        <w:tblW w:w="0" w:type="auto"/>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4"/>
      </w:tblGrid>
      <w:tr w14:paraId="2BA1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4" w:type="dxa"/>
            <w:noWrap w:val="0"/>
            <w:vAlign w:val="top"/>
          </w:tcPr>
          <w:p w14:paraId="3D307D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专栏2-10  新产业新赛道培育工程</w:t>
            </w:r>
          </w:p>
        </w:tc>
      </w:tr>
      <w:tr w14:paraId="0904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734" w:type="dxa"/>
            <w:noWrap w:val="0"/>
            <w:vAlign w:val="top"/>
          </w:tcPr>
          <w:p w14:paraId="591D618D">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新</w:t>
            </w:r>
            <w:r>
              <w:rPr>
                <w:rFonts w:hint="default" w:ascii="Times New Roman" w:hAnsi="Times New Roman" w:eastAsia="仿宋_GB2312" w:cs="Times New Roman"/>
                <w:b/>
                <w:bCs/>
                <w:color w:val="auto"/>
                <w:spacing w:val="0"/>
                <w:kern w:val="2"/>
                <w:sz w:val="24"/>
                <w:szCs w:val="24"/>
                <w:vertAlign w:val="baseline"/>
                <w:lang w:val="en-US" w:eastAsia="zh-CN" w:bidi="ar-SA"/>
              </w:rPr>
              <w:t>能源产业工程。</w:t>
            </w:r>
            <w:r>
              <w:rPr>
                <w:rFonts w:hint="default" w:ascii="Times New Roman" w:hAnsi="Times New Roman" w:cs="Times New Roman"/>
                <w:b w:val="0"/>
                <w:bCs w:val="0"/>
                <w:color w:val="auto"/>
                <w:spacing w:val="0"/>
                <w:kern w:val="2"/>
                <w:sz w:val="24"/>
                <w:szCs w:val="24"/>
                <w:vertAlign w:val="baseline"/>
                <w:lang w:val="en-US" w:eastAsia="zh-CN" w:bidi="ar-SA"/>
              </w:rPr>
              <w:t>重点</w:t>
            </w:r>
            <w:r>
              <w:rPr>
                <w:rFonts w:hint="default" w:ascii="Times New Roman" w:hAnsi="Times New Roman" w:eastAsia="仿宋_GB2312" w:cs="Times New Roman"/>
                <w:b w:val="0"/>
                <w:bCs w:val="0"/>
                <w:color w:val="auto"/>
                <w:spacing w:val="0"/>
                <w:kern w:val="2"/>
                <w:sz w:val="24"/>
                <w:szCs w:val="24"/>
                <w:vertAlign w:val="baseline"/>
                <w:lang w:val="en-US" w:eastAsia="zh-CN" w:bidi="ar-SA"/>
              </w:rPr>
              <w:t>建设</w:t>
            </w:r>
            <w:r>
              <w:rPr>
                <w:rFonts w:hint="default" w:ascii="Times New Roman" w:hAnsi="Times New Roman" w:cs="Times New Roman"/>
                <w:b w:val="0"/>
                <w:bCs w:val="0"/>
                <w:color w:val="auto"/>
                <w:spacing w:val="0"/>
                <w:kern w:val="2"/>
                <w:sz w:val="24"/>
                <w:szCs w:val="24"/>
                <w:vertAlign w:val="baseline"/>
                <w:lang w:val="en-US" w:eastAsia="zh-CN" w:bidi="ar-SA"/>
              </w:rPr>
              <w:t>华润武乡200MV/400MVh储能电站、400MW/800MWh独立储能电站、华润电力汉台区20万千瓦光电生态综合示范、虚拟电厂建设及城市综合能源配套、千村万户</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光伏+</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乡村振兴示范、315省道汉台段边坡光伏发电、汉中市应急救援冷链物流中心分布式并网光伏发电、新能源智慧光充一体化服务体验中心、氢能综合示范基地等</w:t>
            </w:r>
            <w:r>
              <w:rPr>
                <w:rFonts w:hint="default" w:ascii="Times New Roman" w:hAnsi="Times New Roman" w:eastAsia="仿宋_GB2312" w:cs="Times New Roman"/>
                <w:b w:val="0"/>
                <w:bCs w:val="0"/>
                <w:color w:val="auto"/>
                <w:spacing w:val="0"/>
                <w:kern w:val="2"/>
                <w:sz w:val="24"/>
                <w:szCs w:val="24"/>
                <w:vertAlign w:val="baseline"/>
                <w:lang w:val="en-US" w:eastAsia="zh-CN" w:bidi="ar-SA"/>
              </w:rPr>
              <w:t>项目。</w:t>
            </w:r>
          </w:p>
          <w:p w14:paraId="7599C8E4">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电子信息产业</w:t>
            </w:r>
            <w:r>
              <w:rPr>
                <w:rFonts w:hint="default" w:ascii="Times New Roman" w:hAnsi="Times New Roman" w:cs="Times New Roman"/>
                <w:b/>
                <w:bCs/>
                <w:color w:val="auto"/>
                <w:spacing w:val="0"/>
                <w:kern w:val="2"/>
                <w:sz w:val="24"/>
                <w:szCs w:val="24"/>
                <w:vertAlign w:val="baseline"/>
                <w:lang w:val="en-US" w:eastAsia="zh-CN" w:bidi="ar-SA"/>
              </w:rPr>
              <w:t>工程。</w:t>
            </w:r>
            <w:r>
              <w:rPr>
                <w:rFonts w:hint="default" w:ascii="Times New Roman" w:hAnsi="Times New Roman" w:cs="Times New Roman"/>
                <w:b w:val="0"/>
                <w:bCs w:val="0"/>
                <w:color w:val="auto"/>
                <w:spacing w:val="0"/>
                <w:kern w:val="2"/>
                <w:sz w:val="24"/>
                <w:szCs w:val="24"/>
                <w:vertAlign w:val="baseline"/>
                <w:lang w:val="en-US" w:eastAsia="zh-CN" w:bidi="ar-SA"/>
              </w:rPr>
              <w:t>围绕智能传感和控制、智能终端、电子元器件、信息技术服务、大数据、算力中心等领域，重点建设奥翔二期数字产业园、汉台区AI算力及智慧政务服务建设、LED电子产品集成产线、万目仪电智能化生产等</w:t>
            </w:r>
            <w:r>
              <w:rPr>
                <w:rFonts w:hint="default" w:ascii="Times New Roman" w:hAnsi="Times New Roman" w:eastAsia="仿宋_GB2312" w:cs="Times New Roman"/>
                <w:b w:val="0"/>
                <w:bCs w:val="0"/>
                <w:color w:val="auto"/>
                <w:spacing w:val="0"/>
                <w:kern w:val="2"/>
                <w:sz w:val="24"/>
                <w:szCs w:val="24"/>
                <w:vertAlign w:val="baseline"/>
                <w:lang w:val="en-US" w:eastAsia="zh-CN" w:bidi="ar-SA"/>
              </w:rPr>
              <w:t>项目</w:t>
            </w:r>
            <w:r>
              <w:rPr>
                <w:rFonts w:hint="default" w:ascii="Times New Roman" w:hAnsi="Times New Roman" w:cs="Times New Roman"/>
                <w:b w:val="0"/>
                <w:bCs w:val="0"/>
                <w:color w:val="auto"/>
                <w:spacing w:val="0"/>
                <w:kern w:val="2"/>
                <w:sz w:val="24"/>
                <w:szCs w:val="24"/>
                <w:vertAlign w:val="baseline"/>
                <w:lang w:val="en-US" w:eastAsia="zh-CN" w:bidi="ar-SA"/>
              </w:rPr>
              <w:t>。</w:t>
            </w:r>
          </w:p>
          <w:p w14:paraId="1631EAA5">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生物医药产业工程。</w:t>
            </w:r>
            <w:r>
              <w:rPr>
                <w:rFonts w:hint="default" w:ascii="Times New Roman" w:hAnsi="Times New Roman" w:cs="Times New Roman"/>
                <w:b w:val="0"/>
                <w:bCs w:val="0"/>
                <w:color w:val="auto"/>
                <w:spacing w:val="0"/>
                <w:kern w:val="2"/>
                <w:sz w:val="24"/>
                <w:szCs w:val="24"/>
                <w:vertAlign w:val="baseline"/>
                <w:lang w:val="en-US" w:eastAsia="zh-CN" w:bidi="ar-SA"/>
              </w:rPr>
              <w:t>重点建设甾体创新药物制剂产业化、固定化生物酶连续流技术绿色合成高端医美原料研发及产业化、中药外用制剂研制及绿色生产基地、生物医药产业科创平台构建与应用、动物医药研发与生产等项目。</w:t>
            </w:r>
          </w:p>
          <w:p w14:paraId="51E785AB">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节能环保产业工程。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建设三优清洁能源制造加工</w:t>
            </w:r>
            <w:r>
              <w:rPr>
                <w:rFonts w:hint="default" w:ascii="Times New Roman" w:hAnsi="Times New Roman" w:cs="Times New Roman"/>
                <w:b w:val="0"/>
                <w:bCs w:val="0"/>
                <w:color w:val="auto"/>
                <w:spacing w:val="0"/>
                <w:kern w:val="2"/>
                <w:sz w:val="24"/>
                <w:szCs w:val="24"/>
                <w:vertAlign w:val="baseline"/>
                <w:lang w:val="en-US" w:eastAsia="zh-CN" w:bidi="ar-SA"/>
              </w:rPr>
              <w:t>、汉中市生态循环经济产业园、汉中城市生活垃圾焚烧发电（热电联产）PPP项目二期、厨余（餐厨）垃圾处理设施、废旧塑料分拣加工交易中心、废旧资源信息化平台、废旧资源再利用市民体验中心、市政废旧资源精分中心、农业环保材料收储销售中心等项目。</w:t>
            </w:r>
          </w:p>
          <w:p w14:paraId="4F6DE9C4">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低空经济工程。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w:t>
            </w:r>
            <w:r>
              <w:rPr>
                <w:rFonts w:hint="default" w:ascii="Times New Roman" w:hAnsi="Times New Roman" w:cs="Times New Roman"/>
                <w:b w:val="0"/>
                <w:bCs w:val="0"/>
                <w:color w:val="auto"/>
                <w:spacing w:val="0"/>
                <w:kern w:val="2"/>
                <w:sz w:val="24"/>
                <w:szCs w:val="24"/>
                <w:vertAlign w:val="baseline"/>
                <w:lang w:val="en-US" w:eastAsia="zh-CN" w:bidi="ar-SA"/>
              </w:rPr>
              <w:t>低空飞行器关键子系统与零部件研发生产中心、汉中市低空经济数字化基础设施及配套场景、汉中市低空旅游航线及基础设施、低空产业运营保障中心、汉台区低空巡航应急等项目。</w:t>
            </w:r>
          </w:p>
          <w:p w14:paraId="76B97B1F">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前沿新材料工程。</w:t>
            </w:r>
            <w:r>
              <w:rPr>
                <w:rFonts w:hint="default" w:ascii="Times New Roman" w:hAnsi="Times New Roman" w:cs="Times New Roman"/>
                <w:b w:val="0"/>
                <w:bCs w:val="0"/>
                <w:color w:val="auto"/>
                <w:spacing w:val="0"/>
                <w:kern w:val="2"/>
                <w:sz w:val="24"/>
                <w:szCs w:val="24"/>
                <w:vertAlign w:val="baseline"/>
                <w:lang w:val="en-US" w:eastAsia="zh-CN" w:bidi="ar-SA"/>
              </w:rPr>
              <w:t>重点建设航空级3D打印金属粉末智能化生产基地、年产5000吨系列功能母粒（阻燃剂）生产线、高性能纤维及复合材料生产线、陕南前沿技术产业园区等项目。</w:t>
            </w:r>
          </w:p>
        </w:tc>
      </w:tr>
    </w:tbl>
    <w:p w14:paraId="78194288">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CESI黑体-GB2312" w:hAnsi="CESI黑体-GB2312" w:eastAsia="CESI黑体-GB2312" w:cs="CESI黑体-GB2312"/>
          <w:lang w:val="en-US" w:eastAsia="zh-CN"/>
        </w:rPr>
      </w:pPr>
      <w:bookmarkStart w:id="90" w:name="_Toc32354"/>
      <w:bookmarkStart w:id="91" w:name="_Toc24082"/>
      <w:bookmarkStart w:id="92" w:name="_Toc23076"/>
      <w:bookmarkStart w:id="93" w:name="_Toc6676"/>
      <w:bookmarkStart w:id="94" w:name="_Toc1850"/>
      <w:r>
        <w:rPr>
          <w:rFonts w:hint="eastAsia" w:ascii="CESI黑体-GB2312" w:hAnsi="CESI黑体-GB2312" w:eastAsia="CESI黑体-GB2312" w:cs="CESI黑体-GB2312"/>
          <w:lang w:val="en-US" w:eastAsia="zh-CN"/>
        </w:rPr>
        <w:t>第四节  推进都市农业</w:t>
      </w:r>
      <w:bookmarkEnd w:id="90"/>
      <w:r>
        <w:rPr>
          <w:rFonts w:hint="eastAsia" w:ascii="CESI黑体-GB2312" w:hAnsi="CESI黑体-GB2312" w:eastAsia="CESI黑体-GB2312" w:cs="CESI黑体-GB2312"/>
          <w:lang w:val="en-US" w:eastAsia="zh-CN"/>
        </w:rPr>
        <w:t>高质量发展</w:t>
      </w:r>
      <w:bookmarkEnd w:id="91"/>
    </w:p>
    <w:p w14:paraId="18A21803">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坚持</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质量兴农、绿色兴农、品牌兴农</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，聚焦有机农业、品牌农业、设施农业、智慧农业、观光农业</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五个农业</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，推动农村一二三产业要素跨界配置和融合发展，延长产业链、提升价值链、拓宽增收链，</w:t>
      </w:r>
      <w:r>
        <w:rPr>
          <w:rFonts w:hint="default" w:ascii="Times New Roman" w:hAnsi="Times New Roman" w:cs="Times New Roman"/>
          <w:color w:val="auto"/>
          <w:szCs w:val="32"/>
        </w:rPr>
        <w:t>构建</w:t>
      </w:r>
      <w:r>
        <w:rPr>
          <w:rFonts w:hint="default" w:ascii="Times New Roman" w:hAnsi="Times New Roman" w:cs="Times New Roman"/>
          <w:color w:val="auto"/>
          <w:szCs w:val="32"/>
          <w:lang w:val="en-US" w:eastAsia="zh-CN"/>
        </w:rPr>
        <w:t>都市</w:t>
      </w:r>
      <w:r>
        <w:rPr>
          <w:rFonts w:hint="default" w:ascii="Times New Roman" w:hAnsi="Times New Roman" w:cs="Times New Roman"/>
          <w:color w:val="auto"/>
          <w:szCs w:val="32"/>
        </w:rPr>
        <w:t>现代农业产业体系、生产体系和经营体系，提高农业质量效益和竞争力</w:t>
      </w:r>
      <w:r>
        <w:rPr>
          <w:rFonts w:hint="default" w:ascii="Times New Roman" w:hAnsi="Times New Roman" w:cs="Times New Roman"/>
          <w:color w:val="auto"/>
          <w:sz w:val="32"/>
          <w:szCs w:val="32"/>
          <w:lang w:val="en-US" w:eastAsia="zh-CN"/>
        </w:rPr>
        <w:t>。到2030年，实现农业总产值</w:t>
      </w:r>
      <w:r>
        <w:rPr>
          <w:rFonts w:hint="default" w:ascii="Times New Roman" w:hAnsi="Times New Roman" w:cs="Times New Roman"/>
          <w:color w:val="auto"/>
          <w:szCs w:val="32"/>
          <w:lang w:val="en-US" w:eastAsia="zh-CN"/>
        </w:rPr>
        <w:t>50</w:t>
      </w:r>
      <w:r>
        <w:rPr>
          <w:rFonts w:hint="default" w:ascii="Times New Roman" w:hAnsi="Times New Roman" w:cs="Times New Roman"/>
          <w:color w:val="auto"/>
          <w:sz w:val="32"/>
          <w:szCs w:val="32"/>
          <w:lang w:val="en-US" w:eastAsia="zh-CN"/>
        </w:rPr>
        <w:t>亿元。</w:t>
      </w:r>
    </w:p>
    <w:p w14:paraId="4E8C1985">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r>
        <w:rPr>
          <w:rFonts w:hint="default" w:ascii="Times New Roman" w:hAnsi="Times New Roman" w:eastAsia="黑体" w:cs="Times New Roman"/>
          <w:b w:val="0"/>
          <w:bCs/>
          <w:color w:val="auto"/>
          <w:sz w:val="32"/>
          <w:szCs w:val="32"/>
          <w:lang w:val="en-US" w:eastAsia="zh-CN"/>
        </w:rPr>
        <w:t>一、发展壮大特色优势产业</w:t>
      </w:r>
    </w:p>
    <w:p w14:paraId="2B0A2EA2">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做稳粮油食品业。</w:t>
      </w:r>
      <w:r>
        <w:rPr>
          <w:rFonts w:hint="default" w:ascii="Times New Roman" w:hAnsi="Times New Roman" w:eastAsia="仿宋_GB2312" w:cs="Times New Roman"/>
          <w:color w:val="auto"/>
          <w:sz w:val="32"/>
          <w:szCs w:val="32"/>
          <w:lang w:val="en-US" w:eastAsia="zh-CN"/>
        </w:rPr>
        <w:t>严格落实粮食安全党政同责，稳面积、优品种、提单产。实施粮食产能提升行动，大力推进</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良田、良种、良机、良法</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深度</w:t>
      </w:r>
      <w:r>
        <w:rPr>
          <w:rFonts w:hint="default" w:ascii="Times New Roman" w:hAnsi="Times New Roman" w:eastAsia="仿宋_GB2312" w:cs="Times New Roman"/>
          <w:color w:val="auto"/>
          <w:sz w:val="32"/>
          <w:szCs w:val="32"/>
          <w:lang w:val="en-US" w:eastAsia="zh-CN"/>
        </w:rPr>
        <w:t>融合，积极推广稻油轮作</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1253</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模式，建设万亩绿色高效</w:t>
      </w:r>
      <w:r>
        <w:rPr>
          <w:rFonts w:hint="default" w:ascii="Times New Roman" w:hAnsi="Times New Roman" w:cs="Times New Roman"/>
          <w:color w:val="auto"/>
          <w:sz w:val="32"/>
          <w:szCs w:val="32"/>
          <w:lang w:val="en-US" w:eastAsia="zh-CN"/>
        </w:rPr>
        <w:t>粮油生产区</w:t>
      </w:r>
      <w:r>
        <w:rPr>
          <w:rFonts w:hint="default" w:ascii="Times New Roman" w:hAnsi="Times New Roman" w:eastAsia="仿宋_GB2312" w:cs="Times New Roman"/>
          <w:color w:val="auto"/>
          <w:sz w:val="32"/>
          <w:szCs w:val="32"/>
          <w:lang w:val="en-US" w:eastAsia="zh-CN"/>
        </w:rPr>
        <w:t>。</w:t>
      </w:r>
    </w:p>
    <w:p w14:paraId="5A6DD3E3">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eastAsia="楷体_GB2312" w:cs="Times New Roman"/>
          <w:b w:val="0"/>
          <w:bCs w:val="0"/>
          <w:color w:val="auto"/>
          <w:sz w:val="32"/>
          <w:szCs w:val="32"/>
          <w:lang w:val="en-US" w:eastAsia="zh-CN"/>
        </w:rPr>
        <w:t>做大精品蔬菜产业。</w:t>
      </w:r>
      <w:r>
        <w:rPr>
          <w:rFonts w:hint="default" w:ascii="Times New Roman" w:hAnsi="Times New Roman" w:eastAsia="仿宋_GB2312" w:cs="Times New Roman"/>
          <w:color w:val="auto"/>
          <w:sz w:val="32"/>
          <w:szCs w:val="32"/>
          <w:lang w:val="en-US" w:eastAsia="zh-CN"/>
        </w:rPr>
        <w:t>以七里街道、龙江街道、铺镇等沿江蔬菜产供销示范片区</w:t>
      </w:r>
      <w:r>
        <w:rPr>
          <w:rFonts w:hint="default" w:ascii="Times New Roman" w:hAnsi="Times New Roman" w:cs="Times New Roman"/>
          <w:color w:val="auto"/>
          <w:sz w:val="32"/>
          <w:szCs w:val="32"/>
          <w:lang w:val="en-US" w:eastAsia="zh-CN"/>
        </w:rPr>
        <w:t>为重点，打造</w:t>
      </w:r>
      <w:r>
        <w:rPr>
          <w:rFonts w:hint="default" w:ascii="Times New Roman" w:hAnsi="Times New Roman" w:eastAsia="仿宋_GB2312" w:cs="Times New Roman"/>
          <w:color w:val="auto"/>
          <w:sz w:val="32"/>
          <w:szCs w:val="32"/>
          <w:lang w:val="en-US" w:eastAsia="zh-CN"/>
        </w:rPr>
        <w:t>10个蔬菜生产优势区</w:t>
      </w:r>
      <w:r>
        <w:rPr>
          <w:rFonts w:hint="default" w:ascii="Times New Roman" w:hAnsi="Times New Roman" w:cs="Times New Roman"/>
          <w:color w:val="auto"/>
          <w:sz w:val="32"/>
          <w:szCs w:val="32"/>
          <w:lang w:val="en-US" w:eastAsia="zh-CN"/>
        </w:rPr>
        <w:t>。实施设施蔬菜改造提升工程，</w:t>
      </w:r>
      <w:r>
        <w:rPr>
          <w:rFonts w:hint="default" w:ascii="Times New Roman" w:hAnsi="Times New Roman" w:cs="Times New Roman"/>
          <w:color w:val="auto"/>
          <w:szCs w:val="32"/>
        </w:rPr>
        <w:t>到2030年，发展设施蔬菜基地3万亩。以康田食用菌生产加工基地为核心，</w:t>
      </w:r>
      <w:r>
        <w:rPr>
          <w:rFonts w:hint="default" w:ascii="Times New Roman" w:hAnsi="Times New Roman" w:cs="Times New Roman"/>
          <w:color w:val="auto"/>
          <w:szCs w:val="32"/>
          <w:lang w:val="en-US" w:eastAsia="zh-CN"/>
        </w:rPr>
        <w:t>辐射带动周边</w:t>
      </w:r>
      <w:r>
        <w:rPr>
          <w:rFonts w:hint="default" w:ascii="Times New Roman" w:hAnsi="Times New Roman" w:cs="Times New Roman"/>
          <w:color w:val="auto"/>
          <w:szCs w:val="32"/>
        </w:rPr>
        <w:t>发展香菇、双孢菇、平菇、羊肚菌、黑木耳等</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rPr>
        <w:t>到20</w:t>
      </w:r>
      <w:r>
        <w:rPr>
          <w:rFonts w:hint="default" w:ascii="Times New Roman" w:hAnsi="Times New Roman" w:cs="Times New Roman"/>
          <w:color w:val="auto"/>
          <w:szCs w:val="32"/>
          <w:lang w:val="en-US" w:eastAsia="zh-CN"/>
        </w:rPr>
        <w:t>30</w:t>
      </w:r>
      <w:r>
        <w:rPr>
          <w:rFonts w:hint="default" w:ascii="Times New Roman" w:hAnsi="Times New Roman" w:cs="Times New Roman"/>
          <w:color w:val="auto"/>
          <w:szCs w:val="32"/>
        </w:rPr>
        <w:t>年，食用菌</w:t>
      </w:r>
      <w:r>
        <w:rPr>
          <w:rFonts w:hint="default" w:ascii="Times New Roman" w:hAnsi="Times New Roman" w:cs="Times New Roman"/>
          <w:color w:val="auto"/>
          <w:szCs w:val="32"/>
          <w:lang w:val="en-US" w:eastAsia="zh-CN"/>
        </w:rPr>
        <w:t>生产规模</w:t>
      </w:r>
      <w:r>
        <w:rPr>
          <w:rFonts w:hint="default" w:ascii="Times New Roman" w:hAnsi="Times New Roman" w:cs="Times New Roman"/>
          <w:color w:val="auto"/>
          <w:szCs w:val="32"/>
        </w:rPr>
        <w:t>达到500万袋。</w:t>
      </w:r>
    </w:p>
    <w:p w14:paraId="4848CF48">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lang w:val="en-US" w:eastAsia="zh-CN"/>
        </w:rPr>
      </w:pPr>
      <w:r>
        <w:rPr>
          <w:rFonts w:hint="default" w:ascii="Times New Roman" w:hAnsi="Times New Roman" w:eastAsia="楷体_GB2312" w:cs="Times New Roman"/>
          <w:b w:val="0"/>
          <w:bCs w:val="0"/>
          <w:color w:val="auto"/>
          <w:sz w:val="32"/>
          <w:szCs w:val="32"/>
          <w:lang w:val="en-US" w:eastAsia="zh-CN"/>
        </w:rPr>
        <w:t>做强畜牧养殖业。</w:t>
      </w:r>
      <w:r>
        <w:rPr>
          <w:rFonts w:hint="default" w:ascii="Times New Roman" w:hAnsi="Times New Roman" w:eastAsia="仿宋_GB2312" w:cs="Times New Roman"/>
          <w:color w:val="auto"/>
          <w:sz w:val="32"/>
          <w:szCs w:val="32"/>
          <w:lang w:val="en-US" w:eastAsia="zh-CN"/>
        </w:rPr>
        <w:t>抓好生猪产能稳定，大力发展肉牛、肉羊、禽蛋等畜牧业，扩大肉牛饲养量，支持禽蛋扩繁，开展畜禽养殖场标准化示范创建。</w:t>
      </w:r>
      <w:r>
        <w:rPr>
          <w:rFonts w:hint="default" w:ascii="Times New Roman" w:hAnsi="Times New Roman" w:cs="Times New Roman"/>
          <w:color w:val="auto"/>
          <w:szCs w:val="32"/>
        </w:rPr>
        <w:t>到20</w:t>
      </w:r>
      <w:r>
        <w:rPr>
          <w:rFonts w:hint="default" w:ascii="Times New Roman" w:hAnsi="Times New Roman" w:cs="Times New Roman"/>
          <w:color w:val="auto"/>
          <w:szCs w:val="32"/>
          <w:lang w:val="en-US" w:eastAsia="zh-CN"/>
        </w:rPr>
        <w:t>30</w:t>
      </w:r>
      <w:r>
        <w:rPr>
          <w:rFonts w:hint="default" w:ascii="Times New Roman" w:hAnsi="Times New Roman" w:cs="Times New Roman"/>
          <w:color w:val="auto"/>
          <w:szCs w:val="32"/>
        </w:rPr>
        <w:t>年，全区生猪出栏规模达到1</w:t>
      </w:r>
      <w:r>
        <w:rPr>
          <w:rFonts w:hint="default" w:ascii="Times New Roman" w:hAnsi="Times New Roman" w:cs="Times New Roman"/>
          <w:color w:val="auto"/>
          <w:szCs w:val="32"/>
          <w:lang w:val="en-US" w:eastAsia="zh-CN"/>
        </w:rPr>
        <w:t>0</w:t>
      </w:r>
      <w:r>
        <w:rPr>
          <w:rFonts w:hint="default" w:ascii="Times New Roman" w:hAnsi="Times New Roman" w:cs="Times New Roman"/>
          <w:color w:val="auto"/>
          <w:szCs w:val="32"/>
        </w:rPr>
        <w:t>万头、禽类</w:t>
      </w:r>
      <w:r>
        <w:rPr>
          <w:rFonts w:hint="default" w:ascii="Times New Roman" w:hAnsi="Times New Roman" w:cs="Times New Roman"/>
          <w:color w:val="auto"/>
          <w:szCs w:val="32"/>
          <w:lang w:val="en-US" w:eastAsia="zh-CN"/>
        </w:rPr>
        <w:t>出栏15</w:t>
      </w:r>
      <w:r>
        <w:rPr>
          <w:rFonts w:hint="default" w:ascii="Times New Roman" w:hAnsi="Times New Roman" w:cs="Times New Roman"/>
          <w:color w:val="auto"/>
          <w:szCs w:val="32"/>
        </w:rPr>
        <w:t>0万只以上</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lang w:val="en-US" w:eastAsia="zh-CN"/>
        </w:rPr>
        <w:t>牛羊出栏1万头（只）。</w:t>
      </w:r>
    </w:p>
    <w:p w14:paraId="6C3AE8C5">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做优果品业。</w:t>
      </w:r>
      <w:r>
        <w:rPr>
          <w:rFonts w:hint="default" w:ascii="Times New Roman" w:hAnsi="Times New Roman" w:eastAsia="仿宋_GB2312" w:cs="Times New Roman"/>
          <w:color w:val="auto"/>
          <w:sz w:val="32"/>
          <w:szCs w:val="32"/>
          <w:lang w:val="en-US" w:eastAsia="zh-CN"/>
        </w:rPr>
        <w:t>推进汉王镇、河东店镇、宗营镇、武乡镇柑橘</w:t>
      </w:r>
      <w:r>
        <w:rPr>
          <w:rFonts w:hint="default" w:ascii="Times New Roman" w:hAnsi="Times New Roman" w:cs="Times New Roman"/>
          <w:color w:val="auto"/>
          <w:sz w:val="32"/>
          <w:szCs w:val="32"/>
          <w:lang w:val="en-US" w:eastAsia="zh-CN"/>
        </w:rPr>
        <w:t>产业带建设，到2030年，</w:t>
      </w:r>
      <w:r>
        <w:rPr>
          <w:rFonts w:hint="default" w:ascii="Times New Roman" w:hAnsi="Times New Roman" w:eastAsia="仿宋_GB2312" w:cs="Times New Roman"/>
          <w:color w:val="auto"/>
          <w:sz w:val="32"/>
          <w:szCs w:val="32"/>
          <w:lang w:val="en-US" w:eastAsia="zh-CN"/>
        </w:rPr>
        <w:t>全区柑桔面积达到5万亩，总产量达到10万吨。</w:t>
      </w:r>
      <w:r>
        <w:rPr>
          <w:rFonts w:hint="default" w:ascii="Times New Roman" w:hAnsi="Times New Roman" w:cs="Times New Roman"/>
          <w:color w:val="auto"/>
          <w:sz w:val="32"/>
          <w:szCs w:val="32"/>
          <w:lang w:val="en-US" w:eastAsia="zh-CN"/>
        </w:rPr>
        <w:t>支持</w:t>
      </w:r>
      <w:r>
        <w:rPr>
          <w:rFonts w:hint="default" w:ascii="Times New Roman" w:hAnsi="Times New Roman" w:eastAsia="仿宋_GB2312" w:cs="Times New Roman"/>
          <w:color w:val="auto"/>
          <w:sz w:val="32"/>
          <w:szCs w:val="32"/>
          <w:lang w:val="en-US" w:eastAsia="zh-CN"/>
        </w:rPr>
        <w:t>老君镇鲜桃、</w:t>
      </w:r>
      <w:r>
        <w:rPr>
          <w:rFonts w:hint="default" w:ascii="Times New Roman" w:hAnsi="Times New Roman" w:cs="Times New Roman"/>
          <w:color w:val="auto"/>
          <w:sz w:val="32"/>
          <w:szCs w:val="32"/>
          <w:lang w:val="en-US" w:eastAsia="zh-CN"/>
        </w:rPr>
        <w:t>武乡镇</w:t>
      </w:r>
      <w:r>
        <w:rPr>
          <w:rFonts w:hint="default" w:ascii="Times New Roman" w:hAnsi="Times New Roman" w:eastAsia="仿宋_GB2312" w:cs="Times New Roman"/>
          <w:color w:val="auto"/>
          <w:sz w:val="32"/>
          <w:szCs w:val="32"/>
          <w:lang w:val="en-US" w:eastAsia="zh-CN"/>
        </w:rPr>
        <w:t>大樱桃</w:t>
      </w:r>
      <w:r>
        <w:rPr>
          <w:rFonts w:hint="default" w:ascii="Times New Roman" w:hAnsi="Times New Roman" w:cs="Times New Roman"/>
          <w:color w:val="auto"/>
          <w:sz w:val="32"/>
          <w:szCs w:val="32"/>
          <w:lang w:val="en-US" w:eastAsia="zh-CN"/>
        </w:rPr>
        <w:t>等特色果品镇村建设，</w:t>
      </w:r>
      <w:r>
        <w:rPr>
          <w:rFonts w:hint="default" w:ascii="Times New Roman" w:hAnsi="Times New Roman" w:eastAsia="仿宋_GB2312" w:cs="Times New Roman"/>
          <w:color w:val="auto"/>
          <w:sz w:val="32"/>
          <w:szCs w:val="32"/>
          <w:lang w:val="en-US" w:eastAsia="zh-CN"/>
        </w:rPr>
        <w:t>推动品种引进、种苗繁育、基地种植</w:t>
      </w:r>
      <w:r>
        <w:rPr>
          <w:rFonts w:hint="default" w:ascii="Times New Roman" w:hAnsi="Times New Roman" w:cs="Times New Roman"/>
          <w:color w:val="auto"/>
          <w:sz w:val="32"/>
          <w:szCs w:val="32"/>
          <w:lang w:val="en-US" w:eastAsia="zh-CN"/>
        </w:rPr>
        <w:t>，</w:t>
      </w:r>
      <w:r>
        <w:rPr>
          <w:rFonts w:hint="default" w:ascii="Times New Roman" w:hAnsi="Times New Roman" w:cs="Times New Roman"/>
          <w:color w:val="auto"/>
          <w:szCs w:val="32"/>
        </w:rPr>
        <w:t>提升</w:t>
      </w:r>
      <w:r>
        <w:rPr>
          <w:rFonts w:hint="default" w:ascii="Times New Roman" w:hAnsi="Times New Roman" w:cs="Times New Roman"/>
          <w:color w:val="auto"/>
          <w:szCs w:val="32"/>
          <w:lang w:val="en-US" w:eastAsia="zh-CN"/>
        </w:rPr>
        <w:t>果业</w:t>
      </w:r>
      <w:r>
        <w:rPr>
          <w:rFonts w:hint="default" w:ascii="Times New Roman" w:hAnsi="Times New Roman" w:cs="Times New Roman"/>
          <w:color w:val="auto"/>
          <w:szCs w:val="32"/>
        </w:rPr>
        <w:t>经济效益</w:t>
      </w:r>
      <w:r>
        <w:rPr>
          <w:rFonts w:hint="default" w:ascii="Times New Roman" w:hAnsi="Times New Roman" w:cs="Times New Roman"/>
          <w:color w:val="auto"/>
          <w:sz w:val="32"/>
          <w:szCs w:val="32"/>
          <w:lang w:val="en-US" w:eastAsia="zh-CN"/>
        </w:rPr>
        <w:t>。</w:t>
      </w:r>
    </w:p>
    <w:p w14:paraId="44912EFF">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做深渔业。</w:t>
      </w:r>
      <w:r>
        <w:rPr>
          <w:rFonts w:hint="default" w:ascii="Times New Roman" w:hAnsi="Times New Roman" w:eastAsia="仿宋_GB2312" w:cs="Times New Roman"/>
          <w:color w:val="auto"/>
          <w:sz w:val="32"/>
          <w:szCs w:val="32"/>
          <w:lang w:val="en-US" w:eastAsia="zh-CN"/>
        </w:rPr>
        <w:t>依托池塘、湖库、稻田等资源，大力发展设施渔业，加强水产苗种体系建设，提高苗种自给率。到2030年，全区大水面水产养殖面积稳定在1.3万亩，设施渔业规模达10万立方米，水产品</w:t>
      </w:r>
      <w:r>
        <w:rPr>
          <w:rFonts w:hint="default" w:ascii="Times New Roman" w:hAnsi="Times New Roman" w:cs="Times New Roman"/>
          <w:color w:val="auto"/>
          <w:sz w:val="32"/>
          <w:szCs w:val="32"/>
          <w:lang w:val="en-US" w:eastAsia="zh-CN"/>
        </w:rPr>
        <w:t>产</w:t>
      </w:r>
      <w:r>
        <w:rPr>
          <w:rFonts w:hint="default" w:ascii="Times New Roman" w:hAnsi="Times New Roman" w:eastAsia="仿宋_GB2312" w:cs="Times New Roman"/>
          <w:color w:val="auto"/>
          <w:sz w:val="32"/>
          <w:szCs w:val="32"/>
          <w:lang w:val="en-US" w:eastAsia="zh-CN"/>
        </w:rPr>
        <w:t>量达到2.1万吨。</w:t>
      </w:r>
    </w:p>
    <w:p w14:paraId="4D76CE97">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做特观赏锦鲤业。</w:t>
      </w:r>
      <w:r>
        <w:rPr>
          <w:rFonts w:hint="default" w:ascii="Times New Roman" w:hAnsi="Times New Roman" w:eastAsia="仿宋_GB2312" w:cs="Times New Roman"/>
          <w:color w:val="auto"/>
          <w:sz w:val="32"/>
          <w:szCs w:val="32"/>
          <w:lang w:val="en-US" w:eastAsia="zh-CN"/>
        </w:rPr>
        <w:t>以打造西北地区最大锦鲤产销基地为目标，形成一批规模化标准化的锦鲤产业养殖基地，稳步提升市场份额，实现产业可持续发展。</w:t>
      </w:r>
    </w:p>
    <w:p w14:paraId="25DAC15B">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r>
        <w:rPr>
          <w:rFonts w:hint="default" w:ascii="Times New Roman" w:hAnsi="Times New Roman" w:eastAsia="黑体" w:cs="Times New Roman"/>
          <w:b w:val="0"/>
          <w:bCs/>
          <w:color w:val="auto"/>
          <w:sz w:val="32"/>
          <w:szCs w:val="32"/>
          <w:lang w:val="en-US" w:eastAsia="zh-CN"/>
        </w:rPr>
        <w:t>二、培育乡村新产业新业态</w:t>
      </w:r>
    </w:p>
    <w:p w14:paraId="547512AE">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eastAsia="楷体_GB2312" w:cs="Times New Roman"/>
          <w:b w:val="0"/>
          <w:bCs w:val="0"/>
          <w:color w:val="auto"/>
          <w:sz w:val="32"/>
          <w:szCs w:val="32"/>
          <w:rtl w:val="0"/>
          <w:lang w:val="en-US" w:eastAsia="zh-CN"/>
        </w:rPr>
        <w:t>培育做强农产品加工业。</w:t>
      </w:r>
      <w:r>
        <w:rPr>
          <w:rFonts w:hint="default" w:ascii="Times New Roman" w:hAnsi="Times New Roman" w:eastAsia="仿宋_GB2312" w:cs="Times New Roman"/>
          <w:color w:val="auto"/>
          <w:sz w:val="32"/>
          <w:szCs w:val="32"/>
          <w:rtl w:val="0"/>
          <w:lang w:val="en-US" w:eastAsia="zh-CN"/>
        </w:rPr>
        <w:t>按照</w:t>
      </w:r>
      <w:r>
        <w:rPr>
          <w:rFonts w:hint="eastAsia" w:cs="Times New Roman"/>
          <w:color w:val="auto"/>
          <w:sz w:val="32"/>
          <w:szCs w:val="32"/>
          <w:rtl w:val="0"/>
          <w:lang w:val="en-US" w:eastAsia="zh-CN"/>
        </w:rPr>
        <w:t>“</w:t>
      </w:r>
      <w:r>
        <w:rPr>
          <w:rFonts w:hint="default" w:ascii="Times New Roman" w:hAnsi="Times New Roman" w:eastAsia="仿宋_GB2312" w:cs="Times New Roman"/>
          <w:color w:val="auto"/>
          <w:sz w:val="32"/>
          <w:szCs w:val="32"/>
          <w:rtl w:val="0"/>
          <w:lang w:val="en-US" w:eastAsia="zh-CN"/>
        </w:rPr>
        <w:t>粮头食尾</w:t>
      </w:r>
      <w:r>
        <w:rPr>
          <w:rFonts w:hint="eastAsia" w:cs="Times New Roman"/>
          <w:color w:val="auto"/>
          <w:sz w:val="32"/>
          <w:szCs w:val="32"/>
          <w:rtl w:val="0"/>
          <w:lang w:val="en-US" w:eastAsia="zh-CN"/>
        </w:rPr>
        <w:t>”“</w:t>
      </w:r>
      <w:r>
        <w:rPr>
          <w:rFonts w:hint="default" w:ascii="Times New Roman" w:hAnsi="Times New Roman" w:eastAsia="仿宋_GB2312" w:cs="Times New Roman"/>
          <w:color w:val="auto"/>
          <w:sz w:val="32"/>
          <w:szCs w:val="32"/>
          <w:rtl w:val="0"/>
          <w:lang w:val="en-US" w:eastAsia="zh-CN"/>
        </w:rPr>
        <w:t>畜头肉尾</w:t>
      </w:r>
      <w:r>
        <w:rPr>
          <w:rFonts w:hint="eastAsia" w:cs="Times New Roman"/>
          <w:color w:val="auto"/>
          <w:sz w:val="32"/>
          <w:szCs w:val="32"/>
          <w:rtl w:val="0"/>
          <w:lang w:val="en-US" w:eastAsia="zh-CN"/>
        </w:rPr>
        <w:t>”“</w:t>
      </w:r>
      <w:r>
        <w:rPr>
          <w:rFonts w:hint="default" w:ascii="Times New Roman" w:hAnsi="Times New Roman" w:eastAsia="仿宋_GB2312" w:cs="Times New Roman"/>
          <w:color w:val="auto"/>
          <w:sz w:val="32"/>
          <w:szCs w:val="32"/>
          <w:rtl w:val="0"/>
          <w:lang w:val="en-US" w:eastAsia="zh-CN"/>
        </w:rPr>
        <w:t>农头工尾</w:t>
      </w:r>
      <w:r>
        <w:rPr>
          <w:rFonts w:hint="eastAsia" w:cs="Times New Roman"/>
          <w:color w:val="auto"/>
          <w:sz w:val="32"/>
          <w:szCs w:val="32"/>
          <w:rtl w:val="0"/>
          <w:lang w:val="en-US" w:eastAsia="zh-CN"/>
        </w:rPr>
        <w:t>”</w:t>
      </w:r>
      <w:r>
        <w:rPr>
          <w:rFonts w:hint="default" w:ascii="Times New Roman" w:hAnsi="Times New Roman" w:eastAsia="仿宋_GB2312" w:cs="Times New Roman"/>
          <w:color w:val="auto"/>
          <w:sz w:val="32"/>
          <w:szCs w:val="32"/>
          <w:rtl w:val="0"/>
          <w:lang w:val="en-US" w:eastAsia="zh-CN"/>
        </w:rPr>
        <w:t>发展方向，支持农业企业提升农产品加工转化和贮藏保鲜能力，支持发展适合家庭农场和农民专业合作社经营的农产品初加工</w:t>
      </w:r>
      <w:r>
        <w:rPr>
          <w:rFonts w:hint="default" w:ascii="Times New Roman" w:hAnsi="Times New Roman" w:cs="Times New Roman"/>
          <w:color w:val="auto"/>
          <w:sz w:val="32"/>
          <w:szCs w:val="32"/>
          <w:rtl w:val="0"/>
          <w:lang w:val="en-US" w:eastAsia="zh-CN"/>
        </w:rPr>
        <w:t>，重点发展</w:t>
      </w:r>
      <w:r>
        <w:rPr>
          <w:rFonts w:hint="default" w:ascii="Times New Roman" w:hAnsi="Times New Roman" w:cs="Times New Roman"/>
          <w:color w:val="auto"/>
          <w:szCs w:val="32"/>
        </w:rPr>
        <w:t>粮油烘干仓储加工、果品</w:t>
      </w:r>
      <w:r>
        <w:rPr>
          <w:rFonts w:hint="default" w:ascii="Times New Roman" w:hAnsi="Times New Roman" w:cs="Times New Roman"/>
          <w:color w:val="auto"/>
          <w:szCs w:val="32"/>
          <w:lang w:val="en-US" w:eastAsia="zh-CN"/>
        </w:rPr>
        <w:t>清</w:t>
      </w:r>
      <w:r>
        <w:rPr>
          <w:rFonts w:hint="default" w:ascii="Times New Roman" w:hAnsi="Times New Roman" w:cs="Times New Roman"/>
          <w:color w:val="auto"/>
          <w:szCs w:val="32"/>
        </w:rPr>
        <w:t>选包装、蔬菜净菜加工、食用菌加工、肉品屠宰分割等产地初加工，鼓励发展农产品精深加工，开发高端农产品，提高主要农产品加工转化率。</w:t>
      </w:r>
    </w:p>
    <w:p w14:paraId="5CA8DD9F">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rtl w:val="0"/>
          <w:lang w:val="en-US" w:eastAsia="zh-CN"/>
        </w:rPr>
      </w:pPr>
      <w:r>
        <w:rPr>
          <w:rFonts w:hint="default" w:ascii="Times New Roman" w:hAnsi="Times New Roman" w:eastAsia="楷体_GB2312" w:cs="Times New Roman"/>
          <w:b w:val="0"/>
          <w:bCs w:val="0"/>
          <w:color w:val="auto"/>
          <w:sz w:val="32"/>
          <w:szCs w:val="32"/>
          <w:rtl w:val="0"/>
          <w:lang w:val="en-US" w:eastAsia="zh-CN"/>
        </w:rPr>
        <w:t>大力发展休闲观光农业。</w:t>
      </w:r>
      <w:r>
        <w:rPr>
          <w:rFonts w:hint="default" w:ascii="Times New Roman" w:hAnsi="Times New Roman" w:eastAsia="仿宋_GB2312" w:cs="Times New Roman"/>
          <w:color w:val="auto"/>
          <w:sz w:val="32"/>
          <w:szCs w:val="32"/>
          <w:rtl w:val="0"/>
          <w:lang w:val="en-US" w:eastAsia="zh-CN"/>
        </w:rPr>
        <w:t>推动农业与文化旅游、教育、康养等产业融合发展，打造一批农耕文化体验区，培育特色鲜明、乡土文化浓郁、田园风光优美的休闲观光农业示范园，支持建设创意农业、农事体验于一体的田园综合体。</w:t>
      </w:r>
    </w:p>
    <w:p w14:paraId="4801277C">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rPr>
      </w:pPr>
      <w:r>
        <w:rPr>
          <w:rFonts w:hint="default" w:ascii="Times New Roman" w:hAnsi="Times New Roman" w:eastAsia="楷体_GB2312" w:cs="Times New Roman"/>
          <w:b w:val="0"/>
          <w:bCs w:val="0"/>
          <w:color w:val="auto"/>
          <w:sz w:val="32"/>
          <w:szCs w:val="32"/>
          <w:rtl w:val="0"/>
          <w:lang w:val="en-US" w:eastAsia="zh-CN"/>
        </w:rPr>
        <w:t>加快发展农产品流通业。</w:t>
      </w:r>
      <w:r>
        <w:rPr>
          <w:rFonts w:hint="default" w:ascii="Times New Roman" w:hAnsi="Times New Roman" w:cs="Times New Roman"/>
          <w:color w:val="auto"/>
          <w:rtl w:val="0"/>
          <w:lang w:val="en-US" w:eastAsia="zh-CN"/>
        </w:rPr>
        <w:t>鼓励商贸、供销、物流等企业加大在农村的设施网络布局，推进农产品市场流通体系、加工体系与生产布局的有机衔接。</w:t>
      </w:r>
      <w:r>
        <w:rPr>
          <w:rFonts w:hint="default" w:ascii="Times New Roman" w:hAnsi="Times New Roman" w:cs="Times New Roman"/>
          <w:color w:val="auto"/>
          <w:szCs w:val="32"/>
        </w:rPr>
        <w:t>引进加盟全国性知名批发市场，扶持供销社、流通企业、专业合作社建设集保鲜、配送为一体的农产品冷链物流体系。鼓励农业经营主体和电商企业开展从地头到餐桌的生鲜农产品同城配送。</w:t>
      </w:r>
    </w:p>
    <w:p w14:paraId="349A1FBA">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rPr>
      </w:pPr>
      <w:r>
        <w:rPr>
          <w:rFonts w:hint="default" w:ascii="Times New Roman" w:hAnsi="Times New Roman" w:eastAsia="楷体_GB2312" w:cs="Times New Roman"/>
          <w:b w:val="0"/>
          <w:bCs w:val="0"/>
          <w:color w:val="auto"/>
          <w:sz w:val="32"/>
          <w:szCs w:val="32"/>
          <w:rtl w:val="0"/>
          <w:lang w:val="en-US" w:eastAsia="zh-CN"/>
        </w:rPr>
        <w:t>积极发展农村电子商务。</w:t>
      </w:r>
      <w:r>
        <w:rPr>
          <w:rFonts w:hint="default" w:ascii="Times New Roman" w:hAnsi="Times New Roman" w:eastAsia="仿宋_GB2312" w:cs="Times New Roman"/>
          <w:i w:val="0"/>
          <w:iCs w:val="0"/>
          <w:caps w:val="0"/>
          <w:color w:val="auto"/>
          <w:spacing w:val="0"/>
          <w:sz w:val="32"/>
          <w:szCs w:val="32"/>
          <w:shd w:val="clear" w:color="auto" w:fill="FFFFFF"/>
        </w:rPr>
        <w:t>加强农村电商公共服务体系建设</w:t>
      </w:r>
      <w:r>
        <w:rPr>
          <w:rFonts w:hint="default" w:ascii="Times New Roman" w:hAnsi="Times New Roman" w:cs="Times New Roman"/>
          <w:color w:val="auto"/>
          <w:sz w:val="32"/>
          <w:lang w:eastAsia="zh-CN"/>
        </w:rPr>
        <w:t>。</w:t>
      </w:r>
      <w:r>
        <w:rPr>
          <w:rFonts w:hint="default" w:ascii="Times New Roman" w:hAnsi="Times New Roman" w:cs="Times New Roman"/>
          <w:b w:val="0"/>
          <w:bCs w:val="0"/>
          <w:color w:val="auto"/>
          <w:lang w:eastAsia="zh-CN"/>
        </w:rPr>
        <w:t>培育电子商务带头人，</w:t>
      </w:r>
      <w:r>
        <w:rPr>
          <w:rFonts w:hint="default" w:ascii="Times New Roman" w:hAnsi="Times New Roman" w:cs="Times New Roman"/>
          <w:color w:val="auto"/>
        </w:rPr>
        <w:t>创新农村电商应用场景</w:t>
      </w:r>
      <w:r>
        <w:rPr>
          <w:rFonts w:hint="default" w:ascii="Times New Roman" w:hAnsi="Times New Roman" w:cs="Times New Roman"/>
          <w:color w:val="auto"/>
          <w:lang w:eastAsia="zh-CN"/>
        </w:rPr>
        <w:t>，</w:t>
      </w:r>
      <w:r>
        <w:rPr>
          <w:rFonts w:hint="default" w:ascii="Times New Roman" w:hAnsi="Times New Roman" w:cs="Times New Roman"/>
          <w:color w:val="auto"/>
        </w:rPr>
        <w:t>与农产品采摘采收、土特展销、</w:t>
      </w:r>
      <w:r>
        <w:rPr>
          <w:rFonts w:hint="default" w:ascii="Times New Roman" w:hAnsi="Times New Roman" w:cs="Times New Roman"/>
          <w:color w:val="auto"/>
          <w:lang w:val="en-US" w:eastAsia="zh-CN"/>
        </w:rPr>
        <w:t>农民丰收节</w:t>
      </w:r>
      <w:r>
        <w:rPr>
          <w:rFonts w:hint="default" w:ascii="Times New Roman" w:hAnsi="Times New Roman" w:cs="Times New Roman"/>
          <w:color w:val="auto"/>
        </w:rPr>
        <w:t>等活动相结合，开展多种形式的农村电商直播促销活动</w:t>
      </w:r>
      <w:r>
        <w:rPr>
          <w:rFonts w:hint="default" w:ascii="Times New Roman" w:hAnsi="Times New Roman" w:cs="Times New Roman"/>
          <w:color w:val="auto"/>
          <w:lang w:eastAsia="zh-CN"/>
        </w:rPr>
        <w:t>。</w:t>
      </w:r>
      <w:r>
        <w:rPr>
          <w:rFonts w:hint="default" w:ascii="Times New Roman" w:hAnsi="Times New Roman" w:cs="Times New Roman"/>
          <w:color w:val="auto"/>
        </w:rPr>
        <w:t>完善农村电商配送及服务网络，解决农村物流配送</w:t>
      </w:r>
      <w:r>
        <w:rPr>
          <w:rFonts w:hint="eastAsia" w:cs="Times New Roman"/>
          <w:color w:val="auto"/>
          <w:lang w:eastAsia="zh-CN"/>
        </w:rPr>
        <w:t>“</w:t>
      </w:r>
      <w:r>
        <w:rPr>
          <w:rFonts w:hint="default" w:ascii="Times New Roman" w:hAnsi="Times New Roman" w:cs="Times New Roman"/>
          <w:color w:val="auto"/>
        </w:rPr>
        <w:t>最后一公里</w:t>
      </w:r>
      <w:r>
        <w:rPr>
          <w:rFonts w:hint="eastAsia" w:cs="Times New Roman"/>
          <w:color w:val="auto"/>
          <w:lang w:eastAsia="zh-CN"/>
        </w:rPr>
        <w:t>”</w:t>
      </w:r>
      <w:r>
        <w:rPr>
          <w:rFonts w:hint="default" w:ascii="Times New Roman" w:hAnsi="Times New Roman" w:cs="Times New Roman"/>
          <w:color w:val="auto"/>
        </w:rPr>
        <w:t>问题。</w:t>
      </w:r>
    </w:p>
    <w:p w14:paraId="698DF33D">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r>
        <w:rPr>
          <w:rFonts w:hint="default" w:ascii="Times New Roman" w:hAnsi="Times New Roman" w:eastAsia="黑体" w:cs="Times New Roman"/>
          <w:b w:val="0"/>
          <w:bCs/>
          <w:color w:val="auto"/>
          <w:sz w:val="32"/>
          <w:szCs w:val="32"/>
          <w:lang w:val="en-US" w:eastAsia="zh-CN"/>
        </w:rPr>
        <w:t>三、健全现代农业经营体系</w:t>
      </w:r>
    </w:p>
    <w:p w14:paraId="0147600E">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eastAsia="楷体_GB2312" w:cs="Times New Roman"/>
          <w:b w:val="0"/>
          <w:bCs w:val="0"/>
          <w:color w:val="auto"/>
          <w:sz w:val="32"/>
          <w:szCs w:val="32"/>
          <w:lang w:val="en-US" w:eastAsia="zh-CN"/>
        </w:rPr>
        <w:t>培育壮大新型经营主体。</w:t>
      </w:r>
      <w:r>
        <w:rPr>
          <w:rFonts w:hint="default" w:ascii="Times New Roman" w:hAnsi="Times New Roman" w:eastAsia="仿宋_GB2312" w:cs="Times New Roman"/>
          <w:color w:val="auto"/>
          <w:sz w:val="32"/>
          <w:szCs w:val="32"/>
        </w:rPr>
        <w:t>积极培育农业产业化龙头企业、农民合作社、家庭农场等新型经营主体</w:t>
      </w:r>
      <w:r>
        <w:rPr>
          <w:rFonts w:hint="default" w:ascii="Times New Roman" w:hAnsi="Times New Roman" w:cs="Times New Roman"/>
          <w:color w:val="auto"/>
          <w:sz w:val="32"/>
          <w:szCs w:val="32"/>
          <w:lang w:eastAsia="zh-CN"/>
        </w:rPr>
        <w:t>，</w:t>
      </w:r>
      <w:r>
        <w:rPr>
          <w:rFonts w:hint="default" w:ascii="Times New Roman" w:hAnsi="Times New Roman" w:eastAsia="仿宋_GB2312" w:cs="Times New Roman"/>
          <w:color w:val="auto"/>
          <w:sz w:val="32"/>
          <w:szCs w:val="32"/>
        </w:rPr>
        <w:t>引导大学毕业生到乡、能人回乡、农民工返乡、企业家入乡，支持创办农民合作社、家庭农场、农业企业等经营主体</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Cs w:val="32"/>
        </w:rPr>
        <w:t>扶持一批辐射带动能力强的合作社发展壮大成为龙头企业</w:t>
      </w:r>
      <w:r>
        <w:rPr>
          <w:rFonts w:hint="default" w:ascii="Times New Roman" w:hAnsi="Times New Roman" w:eastAsia="仿宋_GB2312" w:cs="Times New Roman"/>
          <w:color w:val="auto"/>
          <w:sz w:val="32"/>
          <w:szCs w:val="32"/>
        </w:rPr>
        <w:t>。积极推广</w:t>
      </w:r>
      <w:r>
        <w:rPr>
          <w:rFonts w:hint="eastAsia" w:cs="Times New Roman"/>
          <w:color w:val="auto"/>
          <w:sz w:val="32"/>
          <w:szCs w:val="32"/>
          <w:lang w:eastAsia="zh-CN"/>
        </w:rPr>
        <w:t>“</w:t>
      </w:r>
      <w:r>
        <w:rPr>
          <w:rFonts w:hint="default" w:ascii="Times New Roman" w:hAnsi="Times New Roman" w:eastAsia="仿宋_GB2312" w:cs="Times New Roman"/>
          <w:color w:val="auto"/>
          <w:sz w:val="32"/>
          <w:szCs w:val="32"/>
        </w:rPr>
        <w:t>产联体发展、村企合作、资产出租、资产盘活、资源开发</w:t>
      </w:r>
      <w:r>
        <w:rPr>
          <w:rFonts w:hint="eastAsia" w:cs="Times New Roman"/>
          <w:color w:val="auto"/>
          <w:sz w:val="32"/>
          <w:szCs w:val="32"/>
          <w:lang w:eastAsia="zh-CN"/>
        </w:rPr>
        <w:t>”</w:t>
      </w:r>
      <w:r>
        <w:rPr>
          <w:rFonts w:hint="default" w:ascii="Times New Roman" w:hAnsi="Times New Roman" w:eastAsia="仿宋_GB2312" w:cs="Times New Roman"/>
          <w:color w:val="auto"/>
          <w:sz w:val="32"/>
          <w:szCs w:val="32"/>
        </w:rPr>
        <w:t>五大模式，打造具有较强竞争力的食品集团</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Cs w:val="32"/>
        </w:rPr>
        <w:t>到2030年，市级农业产业化龙头企业达到25家。</w:t>
      </w:r>
    </w:p>
    <w:p w14:paraId="051BE6B8">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b w:val="0"/>
          <w:bCs w:val="0"/>
          <w:i w:val="0"/>
          <w:iCs w:val="0"/>
          <w:caps w:val="0"/>
          <w:color w:val="auto"/>
          <w:spacing w:val="0"/>
          <w:sz w:val="32"/>
          <w:szCs w:val="32"/>
          <w:shd w:val="clear" w:color="auto" w:fill="FFFFFF"/>
          <w:lang w:val="en-US" w:eastAsia="zh-CN"/>
        </w:rPr>
      </w:pPr>
      <w:r>
        <w:rPr>
          <w:rFonts w:hint="default" w:ascii="Times New Roman" w:hAnsi="Times New Roman" w:eastAsia="楷体_GB2312" w:cs="Times New Roman"/>
          <w:b w:val="0"/>
          <w:bCs w:val="0"/>
          <w:color w:val="auto"/>
          <w:sz w:val="32"/>
          <w:szCs w:val="32"/>
          <w:rtl w:val="0"/>
          <w:lang w:val="en-US" w:eastAsia="zh-CN"/>
        </w:rPr>
        <w:t>健全完善联农带农机制。</w:t>
      </w:r>
      <w:r>
        <w:rPr>
          <w:rFonts w:hint="default" w:ascii="Times New Roman" w:hAnsi="Times New Roman" w:eastAsia="仿宋_GB2312" w:cs="Times New Roman"/>
          <w:b w:val="0"/>
          <w:bCs w:val="0"/>
          <w:i w:val="0"/>
          <w:iCs w:val="0"/>
          <w:caps w:val="0"/>
          <w:color w:val="auto"/>
          <w:spacing w:val="0"/>
          <w:sz w:val="32"/>
          <w:szCs w:val="32"/>
          <w:shd w:val="clear" w:color="auto" w:fill="FFFFFF"/>
          <w:lang w:val="en-US" w:eastAsia="zh-CN"/>
        </w:rPr>
        <w:t>支持农业产业化龙头企业与农民专业合作社、家庭农场、农户分工协作，组建要素优化配置、生产专业分工、收益共同分享的农业产业化联合体，提高市场竞争力。通过</w:t>
      </w:r>
      <w:r>
        <w:rPr>
          <w:rFonts w:hint="eastAsia" w:cs="Times New Roman"/>
          <w:b w:val="0"/>
          <w:bCs w:val="0"/>
          <w:i w:val="0"/>
          <w:iCs w:val="0"/>
          <w:caps w:val="0"/>
          <w:color w:val="auto"/>
          <w:spacing w:val="0"/>
          <w:sz w:val="32"/>
          <w:szCs w:val="32"/>
          <w:shd w:val="clear" w:color="auto" w:fill="FFFFFF"/>
          <w:lang w:val="en-US"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FFFFFF"/>
          <w:lang w:val="en-US" w:eastAsia="zh-CN"/>
        </w:rPr>
        <w:t>农户+家庭农场+农民合作社+龙头企业</w:t>
      </w:r>
      <w:r>
        <w:rPr>
          <w:rFonts w:hint="eastAsia" w:cs="Times New Roman"/>
          <w:b w:val="0"/>
          <w:bCs w:val="0"/>
          <w:i w:val="0"/>
          <w:iCs w:val="0"/>
          <w:caps w:val="0"/>
          <w:color w:val="auto"/>
          <w:spacing w:val="0"/>
          <w:sz w:val="32"/>
          <w:szCs w:val="32"/>
          <w:shd w:val="clear" w:color="auto" w:fill="FFFFFF"/>
          <w:lang w:val="en-US"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FFFFFF"/>
          <w:lang w:val="en-US" w:eastAsia="zh-CN"/>
        </w:rPr>
        <w:t>家庭农场+农民合作社+联合社</w:t>
      </w:r>
      <w:r>
        <w:rPr>
          <w:rFonts w:hint="eastAsia" w:cs="Times New Roman"/>
          <w:b w:val="0"/>
          <w:bCs w:val="0"/>
          <w:i w:val="0"/>
          <w:iCs w:val="0"/>
          <w:caps w:val="0"/>
          <w:color w:val="auto"/>
          <w:spacing w:val="0"/>
          <w:sz w:val="32"/>
          <w:szCs w:val="32"/>
          <w:shd w:val="clear" w:color="auto" w:fill="FFFFFF"/>
          <w:lang w:val="en-US"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FFFFFF"/>
          <w:lang w:val="en-US" w:eastAsia="zh-CN"/>
        </w:rPr>
        <w:t>农民合作社+涉农企业+科研院所</w:t>
      </w:r>
      <w:r>
        <w:rPr>
          <w:rFonts w:hint="eastAsia" w:cs="Times New Roman"/>
          <w:b w:val="0"/>
          <w:bCs w:val="0"/>
          <w:i w:val="0"/>
          <w:iCs w:val="0"/>
          <w:caps w:val="0"/>
          <w:color w:val="auto"/>
          <w:spacing w:val="0"/>
          <w:sz w:val="32"/>
          <w:szCs w:val="32"/>
          <w:shd w:val="clear" w:color="auto" w:fill="FFFFFF"/>
          <w:lang w:val="en-US"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FFFFFF"/>
          <w:lang w:val="en-US" w:eastAsia="zh-CN"/>
        </w:rPr>
        <w:t>等方式，</w:t>
      </w:r>
      <w:r>
        <w:rPr>
          <w:rFonts w:hint="default" w:ascii="Times New Roman" w:hAnsi="Times New Roman" w:eastAsia="仿宋_GB2312" w:cs="Times New Roman"/>
          <w:color w:val="auto"/>
          <w:sz w:val="32"/>
          <w:szCs w:val="32"/>
        </w:rPr>
        <w:t>鼓励发展多种形式适度规模经营</w:t>
      </w:r>
      <w:r>
        <w:rPr>
          <w:rFonts w:hint="default" w:ascii="Times New Roman" w:hAnsi="Times New Roman" w:cs="Times New Roman"/>
          <w:color w:val="auto"/>
          <w:sz w:val="32"/>
          <w:szCs w:val="32"/>
          <w:lang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FFFFFF"/>
          <w:lang w:val="en-US" w:eastAsia="zh-CN"/>
        </w:rPr>
        <w:t>开展农超对接、农社对接，帮助小农户对接市场，带动小农户专业化生产。</w:t>
      </w:r>
    </w:p>
    <w:p w14:paraId="14404439">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 w:val="32"/>
          <w:szCs w:val="32"/>
        </w:rPr>
      </w:pPr>
      <w:r>
        <w:rPr>
          <w:rFonts w:hint="default" w:ascii="Times New Roman" w:hAnsi="Times New Roman" w:eastAsia="楷体_GB2312" w:cs="Times New Roman"/>
          <w:b w:val="0"/>
          <w:bCs w:val="0"/>
          <w:i w:val="0"/>
          <w:iCs w:val="0"/>
          <w:caps w:val="0"/>
          <w:color w:val="auto"/>
          <w:spacing w:val="0"/>
          <w:sz w:val="32"/>
          <w:szCs w:val="32"/>
          <w:shd w:val="clear" w:color="auto" w:fill="FFFFFF"/>
          <w:rtl w:val="0"/>
          <w:lang w:val="en-US" w:eastAsia="zh-CN"/>
        </w:rPr>
        <w:t>发展农业社会化服务。</w:t>
      </w:r>
      <w:r>
        <w:rPr>
          <w:rFonts w:hint="default" w:ascii="Times New Roman" w:hAnsi="Times New Roman" w:cs="Times New Roman"/>
          <w:color w:val="auto"/>
          <w:sz w:val="32"/>
          <w:szCs w:val="32"/>
          <w:lang w:val="en-US" w:eastAsia="zh-CN"/>
        </w:rPr>
        <w:t>建立农业社会化服务组织名录库</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rPr>
        <w:t>引导</w:t>
      </w:r>
      <w:r>
        <w:rPr>
          <w:rFonts w:hint="default" w:ascii="Times New Roman" w:hAnsi="Times New Roman" w:cs="Times New Roman"/>
          <w:color w:val="auto"/>
          <w:sz w:val="32"/>
          <w:szCs w:val="32"/>
          <w:lang w:val="en-US" w:eastAsia="zh-CN"/>
        </w:rPr>
        <w:t>各类</w:t>
      </w:r>
      <w:r>
        <w:rPr>
          <w:rFonts w:hint="default" w:ascii="Times New Roman" w:hAnsi="Times New Roman" w:cs="Times New Roman"/>
          <w:color w:val="auto"/>
          <w:sz w:val="32"/>
          <w:szCs w:val="32"/>
        </w:rPr>
        <w:t>服务</w:t>
      </w:r>
      <w:r>
        <w:rPr>
          <w:rFonts w:hint="default" w:ascii="Times New Roman" w:hAnsi="Times New Roman" w:cs="Times New Roman"/>
          <w:color w:val="auto"/>
          <w:sz w:val="32"/>
          <w:szCs w:val="32"/>
          <w:lang w:val="en-US" w:eastAsia="zh-CN"/>
        </w:rPr>
        <w:t>主体</w:t>
      </w:r>
      <w:r>
        <w:rPr>
          <w:rFonts w:hint="default" w:ascii="Times New Roman" w:hAnsi="Times New Roman" w:cs="Times New Roman"/>
          <w:color w:val="auto"/>
          <w:sz w:val="32"/>
          <w:szCs w:val="32"/>
        </w:rPr>
        <w:t>提供生产托管、技术指导、技能培训、生产资料采购、病虫害防治、农产品加工流通等专业服务。建设一批综合农事服务中心，打造集农业产业服务与农村事务服务为一体的综合平台</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打通农业向加工、流通、销售等二三产业连接路径。</w:t>
      </w:r>
      <w:r>
        <w:rPr>
          <w:rFonts w:hint="default" w:ascii="Times New Roman" w:hAnsi="Times New Roman" w:cs="Times New Roman"/>
          <w:color w:val="auto"/>
          <w:sz w:val="32"/>
          <w:szCs w:val="32"/>
        </w:rPr>
        <w:t>到20</w:t>
      </w:r>
      <w:r>
        <w:rPr>
          <w:rFonts w:hint="default" w:ascii="Times New Roman" w:hAnsi="Times New Roman" w:cs="Times New Roman"/>
          <w:color w:val="auto"/>
          <w:sz w:val="32"/>
          <w:szCs w:val="32"/>
          <w:lang w:val="en-US" w:eastAsia="zh-CN"/>
        </w:rPr>
        <w:t>30</w:t>
      </w:r>
      <w:r>
        <w:rPr>
          <w:rFonts w:hint="default" w:ascii="Times New Roman" w:hAnsi="Times New Roman" w:cs="Times New Roman"/>
          <w:color w:val="auto"/>
          <w:sz w:val="32"/>
          <w:szCs w:val="32"/>
        </w:rPr>
        <w:t>年，各类</w:t>
      </w:r>
      <w:r>
        <w:rPr>
          <w:rFonts w:hint="default" w:ascii="Times New Roman" w:hAnsi="Times New Roman" w:cs="Times New Roman"/>
          <w:color w:val="auto"/>
          <w:sz w:val="32"/>
          <w:szCs w:val="32"/>
          <w:lang w:val="en-US" w:eastAsia="zh-CN"/>
        </w:rPr>
        <w:t>农业</w:t>
      </w:r>
      <w:r>
        <w:rPr>
          <w:rFonts w:hint="default" w:ascii="Times New Roman" w:hAnsi="Times New Roman" w:cs="Times New Roman"/>
          <w:color w:val="auto"/>
          <w:sz w:val="32"/>
          <w:szCs w:val="32"/>
        </w:rPr>
        <w:t>社会化服务组织达到</w:t>
      </w:r>
      <w:r>
        <w:rPr>
          <w:rFonts w:hint="default" w:ascii="Times New Roman" w:hAnsi="Times New Roman" w:cs="Times New Roman"/>
          <w:color w:val="auto"/>
          <w:sz w:val="32"/>
          <w:szCs w:val="32"/>
          <w:lang w:val="en-US" w:eastAsia="zh-CN"/>
        </w:rPr>
        <w:t>30</w:t>
      </w:r>
      <w:r>
        <w:rPr>
          <w:rFonts w:hint="default" w:ascii="Times New Roman" w:hAnsi="Times New Roman" w:cs="Times New Roman"/>
          <w:color w:val="auto"/>
          <w:sz w:val="32"/>
          <w:szCs w:val="32"/>
        </w:rPr>
        <w:t>0家以上。</w:t>
      </w:r>
    </w:p>
    <w:p w14:paraId="2469B06B">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r>
        <w:rPr>
          <w:rFonts w:hint="default" w:ascii="Times New Roman" w:hAnsi="Times New Roman" w:eastAsia="黑体" w:cs="Times New Roman"/>
          <w:b w:val="0"/>
          <w:bCs/>
          <w:color w:val="auto"/>
          <w:sz w:val="32"/>
          <w:szCs w:val="32"/>
          <w:lang w:val="en-US" w:eastAsia="zh-CN"/>
        </w:rPr>
        <w:t>四、加强农业质量品牌建设</w:t>
      </w:r>
    </w:p>
    <w:p w14:paraId="0D424758">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Cs w:val="32"/>
        </w:rPr>
      </w:pPr>
      <w:r>
        <w:rPr>
          <w:rFonts w:hint="default" w:ascii="Times New Roman" w:hAnsi="Times New Roman" w:eastAsia="楷体_GB2312" w:cs="Times New Roman"/>
          <w:b w:val="0"/>
          <w:bCs w:val="0"/>
          <w:i w:val="0"/>
          <w:iCs w:val="0"/>
          <w:caps w:val="0"/>
          <w:color w:val="auto"/>
          <w:spacing w:val="0"/>
          <w:sz w:val="32"/>
          <w:szCs w:val="32"/>
          <w:shd w:val="clear" w:color="auto" w:fill="FFFFFF"/>
          <w:rtl w:val="0"/>
          <w:lang w:val="en-US" w:eastAsia="zh-CN"/>
        </w:rPr>
        <w:t>加强农业品牌建设。</w:t>
      </w:r>
      <w:r>
        <w:rPr>
          <w:rFonts w:hint="default" w:ascii="Times New Roman" w:hAnsi="Times New Roman" w:eastAsia="仿宋_GB2312" w:cs="Times New Roman"/>
          <w:b w:val="0"/>
          <w:bCs w:val="0"/>
          <w:color w:val="auto"/>
          <w:kern w:val="0"/>
          <w:sz w:val="32"/>
          <w:szCs w:val="32"/>
          <w:highlight w:val="none"/>
          <w:lang w:val="en-US" w:eastAsia="zh-CN" w:bidi="ar"/>
        </w:rPr>
        <w:t>坚持</w:t>
      </w:r>
      <w:r>
        <w:rPr>
          <w:rFonts w:hint="eastAsia" w:cs="Times New Roman"/>
          <w:b w:val="0"/>
          <w:bCs w:val="0"/>
          <w:color w:val="auto"/>
          <w:kern w:val="0"/>
          <w:sz w:val="32"/>
          <w:szCs w:val="32"/>
          <w:highlight w:val="none"/>
          <w:lang w:val="en-US" w:eastAsia="zh-CN" w:bidi="ar"/>
        </w:rPr>
        <w:t>“</w:t>
      </w:r>
      <w:r>
        <w:rPr>
          <w:rFonts w:hint="default" w:ascii="Times New Roman" w:hAnsi="Times New Roman" w:eastAsia="仿宋_GB2312" w:cs="Times New Roman"/>
          <w:b w:val="0"/>
          <w:bCs w:val="0"/>
          <w:color w:val="auto"/>
          <w:kern w:val="0"/>
          <w:sz w:val="32"/>
          <w:szCs w:val="32"/>
          <w:highlight w:val="none"/>
          <w:lang w:val="en-US" w:eastAsia="zh-CN" w:bidi="ar"/>
        </w:rPr>
        <w:t>区域公用品牌+企业品牌</w:t>
      </w:r>
      <w:r>
        <w:rPr>
          <w:rFonts w:hint="eastAsia" w:cs="Times New Roman"/>
          <w:b w:val="0"/>
          <w:bCs w:val="0"/>
          <w:color w:val="auto"/>
          <w:kern w:val="0"/>
          <w:sz w:val="32"/>
          <w:szCs w:val="32"/>
          <w:highlight w:val="none"/>
          <w:lang w:val="en-US" w:eastAsia="zh-CN" w:bidi="ar"/>
        </w:rPr>
        <w:t>”</w:t>
      </w:r>
      <w:r>
        <w:rPr>
          <w:rFonts w:hint="default" w:ascii="Times New Roman" w:hAnsi="Times New Roman" w:eastAsia="仿宋_GB2312" w:cs="Times New Roman"/>
          <w:b w:val="0"/>
          <w:bCs w:val="0"/>
          <w:color w:val="auto"/>
          <w:kern w:val="0"/>
          <w:sz w:val="32"/>
          <w:szCs w:val="32"/>
          <w:highlight w:val="none"/>
          <w:lang w:val="en-US" w:eastAsia="zh-CN" w:bidi="ar"/>
        </w:rPr>
        <w:t>双品牌扩张，积极培育品质优良、特色鲜明的区域公用品牌，</w:t>
      </w:r>
      <w:r>
        <w:rPr>
          <w:rFonts w:hint="default" w:ascii="Times New Roman" w:hAnsi="Times New Roman" w:cs="Times New Roman"/>
          <w:color w:val="auto"/>
          <w:szCs w:val="32"/>
        </w:rPr>
        <w:t>鼓励龙头企业、合作社、行业协会申报绿色食品、有机农产品和农产品地理标志。加大线上线下推广和营销力度，</w:t>
      </w:r>
      <w:r>
        <w:rPr>
          <w:rFonts w:hint="default" w:ascii="Times New Roman" w:hAnsi="Times New Roman" w:eastAsia="仿宋_GB2312" w:cs="Times New Roman"/>
          <w:b w:val="0"/>
          <w:bCs w:val="0"/>
          <w:color w:val="auto"/>
          <w:kern w:val="0"/>
          <w:sz w:val="32"/>
          <w:szCs w:val="32"/>
          <w:highlight w:val="none"/>
          <w:lang w:val="en-US" w:eastAsia="zh-CN" w:bidi="ar"/>
        </w:rPr>
        <w:t>通过抖音、微信等媒体宣传特色农产品品牌</w:t>
      </w:r>
      <w:r>
        <w:rPr>
          <w:rFonts w:hint="default" w:ascii="Times New Roman" w:hAnsi="Times New Roman" w:cs="Times New Roman"/>
          <w:b w:val="0"/>
          <w:bCs w:val="0"/>
          <w:color w:val="auto"/>
          <w:kern w:val="0"/>
          <w:sz w:val="32"/>
          <w:szCs w:val="32"/>
          <w:highlight w:val="none"/>
          <w:lang w:val="en-US" w:eastAsia="zh-CN" w:bidi="ar"/>
        </w:rPr>
        <w:t>，</w:t>
      </w:r>
      <w:r>
        <w:rPr>
          <w:rFonts w:hint="default" w:ascii="Times New Roman" w:hAnsi="Times New Roman" w:eastAsia="仿宋_GB2312" w:cs="Times New Roman"/>
          <w:b w:val="0"/>
          <w:bCs w:val="0"/>
          <w:color w:val="auto"/>
          <w:kern w:val="0"/>
          <w:sz w:val="32"/>
          <w:szCs w:val="32"/>
          <w:highlight w:val="none"/>
          <w:lang w:val="en-US" w:eastAsia="zh-CN" w:bidi="ar"/>
        </w:rPr>
        <w:t>提升</w:t>
      </w:r>
      <w:r>
        <w:rPr>
          <w:rFonts w:hint="eastAsia" w:cs="Times New Roman"/>
          <w:b w:val="0"/>
          <w:bCs w:val="0"/>
          <w:color w:val="auto"/>
          <w:kern w:val="0"/>
          <w:sz w:val="32"/>
          <w:szCs w:val="32"/>
          <w:highlight w:val="none"/>
          <w:lang w:val="en-US" w:eastAsia="zh-CN" w:bidi="ar"/>
        </w:rPr>
        <w:t>“</w:t>
      </w:r>
      <w:r>
        <w:rPr>
          <w:rFonts w:hint="default" w:ascii="Times New Roman" w:hAnsi="Times New Roman" w:eastAsia="仿宋_GB2312" w:cs="Times New Roman"/>
          <w:b w:val="0"/>
          <w:bCs w:val="0"/>
          <w:color w:val="auto"/>
          <w:kern w:val="0"/>
          <w:sz w:val="32"/>
          <w:szCs w:val="32"/>
          <w:highlight w:val="none"/>
          <w:lang w:val="en-US" w:eastAsia="zh-CN" w:bidi="ar"/>
        </w:rPr>
        <w:t>汉坝蔬菜</w:t>
      </w:r>
      <w:r>
        <w:rPr>
          <w:rFonts w:hint="eastAsia" w:cs="Times New Roman"/>
          <w:b w:val="0"/>
          <w:bCs w:val="0"/>
          <w:color w:val="auto"/>
          <w:kern w:val="0"/>
          <w:sz w:val="32"/>
          <w:szCs w:val="32"/>
          <w:highlight w:val="none"/>
          <w:lang w:val="en-US" w:eastAsia="zh-CN" w:bidi="ar"/>
        </w:rPr>
        <w:t>”“</w:t>
      </w:r>
      <w:r>
        <w:rPr>
          <w:rFonts w:hint="default" w:ascii="Times New Roman" w:hAnsi="Times New Roman" w:eastAsia="仿宋_GB2312" w:cs="Times New Roman"/>
          <w:b w:val="0"/>
          <w:bCs w:val="0"/>
          <w:color w:val="auto"/>
          <w:kern w:val="0"/>
          <w:sz w:val="32"/>
          <w:szCs w:val="32"/>
          <w:highlight w:val="none"/>
          <w:lang w:val="en-US" w:eastAsia="zh-CN" w:bidi="ar"/>
        </w:rPr>
        <w:t>褒河蜜橘</w:t>
      </w:r>
      <w:r>
        <w:rPr>
          <w:rFonts w:hint="eastAsia" w:cs="Times New Roman"/>
          <w:b w:val="0"/>
          <w:bCs w:val="0"/>
          <w:color w:val="auto"/>
          <w:kern w:val="0"/>
          <w:sz w:val="32"/>
          <w:szCs w:val="32"/>
          <w:highlight w:val="none"/>
          <w:lang w:val="en-US" w:eastAsia="zh-CN" w:bidi="ar"/>
        </w:rPr>
        <w:t>”</w:t>
      </w:r>
      <w:r>
        <w:rPr>
          <w:rFonts w:hint="default" w:ascii="Times New Roman" w:hAnsi="Times New Roman" w:cs="Times New Roman"/>
          <w:b w:val="0"/>
          <w:bCs w:val="0"/>
          <w:color w:val="auto"/>
          <w:kern w:val="0"/>
          <w:sz w:val="32"/>
          <w:szCs w:val="32"/>
          <w:highlight w:val="none"/>
          <w:lang w:val="en-US" w:eastAsia="zh-CN" w:bidi="ar"/>
        </w:rPr>
        <w:t>等</w:t>
      </w:r>
      <w:r>
        <w:rPr>
          <w:rFonts w:hint="default" w:ascii="Times New Roman" w:hAnsi="Times New Roman" w:eastAsia="仿宋_GB2312" w:cs="Times New Roman"/>
          <w:b w:val="0"/>
          <w:bCs w:val="0"/>
          <w:color w:val="auto"/>
          <w:kern w:val="0"/>
          <w:sz w:val="32"/>
          <w:szCs w:val="32"/>
          <w:highlight w:val="none"/>
          <w:lang w:val="en-US" w:eastAsia="zh-CN" w:bidi="ar"/>
        </w:rPr>
        <w:t>农产品</w:t>
      </w:r>
      <w:r>
        <w:rPr>
          <w:rFonts w:hint="default" w:ascii="Times New Roman" w:hAnsi="Times New Roman" w:cs="Times New Roman"/>
          <w:b w:val="0"/>
          <w:bCs w:val="0"/>
          <w:color w:val="auto"/>
          <w:kern w:val="0"/>
          <w:sz w:val="32"/>
          <w:szCs w:val="32"/>
          <w:highlight w:val="none"/>
          <w:lang w:val="en-US" w:eastAsia="zh-CN" w:bidi="ar"/>
        </w:rPr>
        <w:t>品牌</w:t>
      </w:r>
      <w:r>
        <w:rPr>
          <w:rFonts w:hint="default" w:ascii="Times New Roman" w:hAnsi="Times New Roman" w:eastAsia="仿宋_GB2312" w:cs="Times New Roman"/>
          <w:b w:val="0"/>
          <w:bCs w:val="0"/>
          <w:color w:val="auto"/>
          <w:kern w:val="0"/>
          <w:sz w:val="32"/>
          <w:szCs w:val="32"/>
          <w:highlight w:val="none"/>
          <w:lang w:val="en-US" w:eastAsia="zh-CN" w:bidi="ar"/>
        </w:rPr>
        <w:t>影响力。鼓励企业和农民合作社参加国内外产品博览会、展销会，在国内大中城市开设专卖店、连锁店、加盟店。</w:t>
      </w:r>
      <w:r>
        <w:rPr>
          <w:rFonts w:hint="default" w:ascii="Times New Roman" w:hAnsi="Times New Roman" w:cs="Times New Roman"/>
          <w:color w:val="auto"/>
          <w:szCs w:val="32"/>
        </w:rPr>
        <w:t>到20</w:t>
      </w:r>
      <w:r>
        <w:rPr>
          <w:rFonts w:hint="default" w:ascii="Times New Roman" w:hAnsi="Times New Roman" w:cs="Times New Roman"/>
          <w:color w:val="auto"/>
          <w:szCs w:val="32"/>
          <w:lang w:val="en-US" w:eastAsia="zh-CN"/>
        </w:rPr>
        <w:t>30</w:t>
      </w:r>
      <w:r>
        <w:rPr>
          <w:rFonts w:hint="default" w:ascii="Times New Roman" w:hAnsi="Times New Roman" w:cs="Times New Roman"/>
          <w:color w:val="auto"/>
          <w:szCs w:val="32"/>
        </w:rPr>
        <w:t>年，</w:t>
      </w:r>
      <w:r>
        <w:rPr>
          <w:rFonts w:hint="default" w:ascii="Times New Roman" w:hAnsi="Times New Roman" w:cs="Times New Roman"/>
          <w:color w:val="auto"/>
          <w:szCs w:val="32"/>
          <w:lang w:val="en-US" w:eastAsia="zh-CN"/>
        </w:rPr>
        <w:t>打造特色农业品牌40个，</w:t>
      </w:r>
      <w:r>
        <w:rPr>
          <w:rFonts w:hint="eastAsia" w:cs="Times New Roman"/>
          <w:color w:val="auto"/>
          <w:szCs w:val="32"/>
          <w:lang w:eastAsia="zh-CN"/>
        </w:rPr>
        <w:t>“</w:t>
      </w:r>
      <w:r>
        <w:rPr>
          <w:rFonts w:hint="default" w:ascii="Times New Roman" w:hAnsi="Times New Roman" w:cs="Times New Roman"/>
          <w:color w:val="auto"/>
          <w:szCs w:val="32"/>
          <w:lang w:val="en-US" w:eastAsia="zh-CN"/>
        </w:rPr>
        <w:t>两</w:t>
      </w:r>
      <w:r>
        <w:rPr>
          <w:rFonts w:hint="default" w:ascii="Times New Roman" w:hAnsi="Times New Roman" w:cs="Times New Roman"/>
          <w:color w:val="auto"/>
          <w:szCs w:val="32"/>
        </w:rPr>
        <w:t>品一标</w:t>
      </w:r>
      <w:r>
        <w:rPr>
          <w:rFonts w:hint="eastAsia" w:cs="Times New Roman"/>
          <w:color w:val="auto"/>
          <w:szCs w:val="32"/>
          <w:lang w:eastAsia="zh-CN"/>
        </w:rPr>
        <w:t>”</w:t>
      </w:r>
      <w:r>
        <w:rPr>
          <w:rFonts w:hint="default" w:ascii="Times New Roman" w:hAnsi="Times New Roman" w:cs="Times New Roman"/>
          <w:color w:val="auto"/>
          <w:szCs w:val="32"/>
        </w:rPr>
        <w:t>产品达到</w:t>
      </w:r>
      <w:r>
        <w:rPr>
          <w:rFonts w:hint="default" w:ascii="Times New Roman" w:hAnsi="Times New Roman" w:cs="Times New Roman"/>
          <w:color w:val="auto"/>
          <w:szCs w:val="32"/>
          <w:lang w:val="en-US" w:eastAsia="zh-CN"/>
        </w:rPr>
        <w:t>12</w:t>
      </w:r>
      <w:r>
        <w:rPr>
          <w:rFonts w:hint="default" w:ascii="Times New Roman" w:hAnsi="Times New Roman" w:cs="Times New Roman"/>
          <w:color w:val="auto"/>
          <w:szCs w:val="32"/>
        </w:rPr>
        <w:t>个。</w:t>
      </w:r>
    </w:p>
    <w:p w14:paraId="3B7D340B">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楷体_GB2312" w:cs="Times New Roman"/>
          <w:b w:val="0"/>
          <w:bCs w:val="0"/>
          <w:i w:val="0"/>
          <w:iCs w:val="0"/>
          <w:caps w:val="0"/>
          <w:color w:val="auto"/>
          <w:spacing w:val="0"/>
          <w:sz w:val="32"/>
          <w:szCs w:val="32"/>
          <w:shd w:val="clear" w:color="auto" w:fill="FFFFFF"/>
          <w:rtl w:val="0"/>
          <w:lang w:val="en-US" w:eastAsia="zh-CN"/>
        </w:rPr>
        <w:t>加强农产品质量安全管理。</w:t>
      </w:r>
      <w:r>
        <w:rPr>
          <w:rFonts w:hint="default" w:ascii="Times New Roman" w:hAnsi="Times New Roman" w:eastAsia="仿宋_GB2312" w:cs="Times New Roman"/>
          <w:b w:val="0"/>
          <w:bCs w:val="0"/>
          <w:color w:val="auto"/>
          <w:kern w:val="0"/>
          <w:sz w:val="32"/>
          <w:szCs w:val="32"/>
          <w:highlight w:val="none"/>
          <w:lang w:val="en-US" w:eastAsia="zh-CN" w:bidi="ar"/>
        </w:rPr>
        <w:t>巩固省级农产品质量安全示范县创建成果，推进国家级农产品质量安全区创建。健全农产品质量安全</w:t>
      </w:r>
      <w:r>
        <w:rPr>
          <w:rFonts w:hint="eastAsia" w:cs="Times New Roman"/>
          <w:b w:val="0"/>
          <w:bCs w:val="0"/>
          <w:color w:val="auto"/>
          <w:kern w:val="0"/>
          <w:sz w:val="32"/>
          <w:szCs w:val="32"/>
          <w:highlight w:val="none"/>
          <w:lang w:val="en-US" w:eastAsia="zh-CN" w:bidi="ar"/>
        </w:rPr>
        <w:t>“</w:t>
      </w:r>
      <w:r>
        <w:rPr>
          <w:rFonts w:hint="default" w:ascii="Times New Roman" w:hAnsi="Times New Roman" w:eastAsia="仿宋_GB2312" w:cs="Times New Roman"/>
          <w:b w:val="0"/>
          <w:bCs w:val="0"/>
          <w:color w:val="auto"/>
          <w:kern w:val="0"/>
          <w:sz w:val="32"/>
          <w:szCs w:val="32"/>
          <w:highlight w:val="none"/>
          <w:lang w:val="en-US" w:eastAsia="zh-CN" w:bidi="ar"/>
        </w:rPr>
        <w:t>网格化</w:t>
      </w:r>
      <w:r>
        <w:rPr>
          <w:rFonts w:hint="eastAsia" w:cs="Times New Roman"/>
          <w:b w:val="0"/>
          <w:bCs w:val="0"/>
          <w:color w:val="auto"/>
          <w:kern w:val="0"/>
          <w:sz w:val="32"/>
          <w:szCs w:val="32"/>
          <w:highlight w:val="none"/>
          <w:lang w:val="en-US" w:eastAsia="zh-CN" w:bidi="ar"/>
        </w:rPr>
        <w:t>”</w:t>
      </w:r>
      <w:r>
        <w:rPr>
          <w:rFonts w:hint="default" w:ascii="Times New Roman" w:hAnsi="Times New Roman" w:eastAsia="仿宋_GB2312" w:cs="Times New Roman"/>
          <w:b w:val="0"/>
          <w:bCs w:val="0"/>
          <w:color w:val="auto"/>
          <w:kern w:val="0"/>
          <w:sz w:val="32"/>
          <w:szCs w:val="32"/>
          <w:highlight w:val="none"/>
          <w:lang w:val="en-US" w:eastAsia="zh-CN" w:bidi="ar"/>
        </w:rPr>
        <w:t>监管体系和农产品检验检测体系。加强农业执法监管能力建设。强化农作物病虫害、重大动物疫病防控，加强动物卫生监督、兽药饲料监管和畜禽屠宰监管。建立产地准出和市场准入机制，加强农产品产地环境保护和源头治理，从源头上确保产品质量。确保农产品质量安全合格率保持在98%以上。</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341D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9061" w:type="dxa"/>
            <w:noWrap w:val="0"/>
            <w:vAlign w:val="top"/>
          </w:tcPr>
          <w:p w14:paraId="5867D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专栏2-11  现代农业高质量发展工程</w:t>
            </w:r>
          </w:p>
        </w:tc>
      </w:tr>
      <w:tr w14:paraId="16E1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noWrap w:val="0"/>
            <w:vAlign w:val="top"/>
          </w:tcPr>
          <w:p w14:paraId="116573F1">
            <w:pPr>
              <w:keepNext w:val="0"/>
              <w:keepLines w:val="0"/>
              <w:pageBreakBefore w:val="0"/>
              <w:widowControl w:val="0"/>
              <w:kinsoku/>
              <w:wordWrap/>
              <w:overflowPunct/>
              <w:topLinePunct w:val="0"/>
              <w:autoSpaceDE/>
              <w:autoSpaceDN/>
              <w:bidi w:val="0"/>
              <w:adjustRightInd w:val="0"/>
              <w:snapToGrid w:val="0"/>
              <w:spacing w:line="38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特色优势产业工程。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w:t>
            </w:r>
            <w:r>
              <w:rPr>
                <w:rFonts w:hint="default" w:ascii="Times New Roman" w:hAnsi="Times New Roman" w:cs="Times New Roman"/>
                <w:b w:val="0"/>
                <w:bCs w:val="0"/>
                <w:color w:val="auto"/>
                <w:spacing w:val="0"/>
                <w:kern w:val="2"/>
                <w:sz w:val="24"/>
                <w:szCs w:val="24"/>
                <w:vertAlign w:val="baseline"/>
                <w:lang w:val="en-US" w:eastAsia="zh-CN" w:bidi="ar-SA"/>
              </w:rPr>
              <w:t>汉台区绿色粮油产业基地、稻米现代化产业提升、蔬菜稳产保供基地提质增效示范、陕南地区小南瓜特色产业园、中法高端农业产业园、魔芋种植示范园、食用菌科技示范园、柑桔老园改造提升、武乡镇宋沟村大樱桃特色产业提升、智慧蛋鸡生产基地、生猪智能养殖基地、河东店林下养殖产业基地、渔业生态养殖产业园、中药材智慧标准化育苗及种植基地等项目。</w:t>
            </w:r>
          </w:p>
          <w:p w14:paraId="206B5136">
            <w:pPr>
              <w:keepNext w:val="0"/>
              <w:keepLines w:val="0"/>
              <w:pageBreakBefore w:val="0"/>
              <w:widowControl w:val="0"/>
              <w:kinsoku/>
              <w:wordWrap/>
              <w:overflowPunct/>
              <w:topLinePunct w:val="0"/>
              <w:autoSpaceDE/>
              <w:autoSpaceDN/>
              <w:bidi w:val="0"/>
              <w:adjustRightInd w:val="0"/>
              <w:snapToGrid w:val="0"/>
              <w:spacing w:line="38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乡村产业体系工程。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推动农村一二三产业要素跨界配置和融合发展，延长产业链、提升价值链、拓宽增收链。重点建设</w:t>
            </w:r>
            <w:r>
              <w:rPr>
                <w:rFonts w:hint="default" w:ascii="Times New Roman" w:hAnsi="Times New Roman" w:cs="Times New Roman"/>
                <w:b w:val="0"/>
                <w:bCs w:val="0"/>
                <w:color w:val="auto"/>
                <w:spacing w:val="0"/>
                <w:kern w:val="2"/>
                <w:sz w:val="24"/>
                <w:szCs w:val="24"/>
                <w:vertAlign w:val="baseline"/>
                <w:lang w:val="en-US" w:eastAsia="zh-CN" w:bidi="ar-SA"/>
              </w:rPr>
              <w:t>武乡镇农村产业融合发展示范园、七里睿智现代农业示范园二期、汪洋村现代农业产业园、国家级现代农业示范产业园、宗营镇山水田园生态循环农业综合示范片区、全自动化物联网兰花产业园等项目</w:t>
            </w:r>
            <w:r>
              <w:rPr>
                <w:rFonts w:hint="default" w:ascii="Times New Roman" w:hAnsi="Times New Roman" w:eastAsia="仿宋_GB2312" w:cs="Times New Roman"/>
                <w:b w:val="0"/>
                <w:bCs w:val="0"/>
                <w:color w:val="auto"/>
                <w:spacing w:val="0"/>
                <w:kern w:val="2"/>
                <w:sz w:val="24"/>
                <w:szCs w:val="24"/>
                <w:vertAlign w:val="baseline"/>
                <w:lang w:val="en-US" w:eastAsia="zh-CN" w:bidi="ar-SA"/>
              </w:rPr>
              <w:t>。</w:t>
            </w:r>
          </w:p>
          <w:p w14:paraId="5AE1BD34">
            <w:pPr>
              <w:keepNext w:val="0"/>
              <w:keepLines w:val="0"/>
              <w:pageBreakBefore w:val="0"/>
              <w:widowControl w:val="0"/>
              <w:kinsoku/>
              <w:wordWrap/>
              <w:overflowPunct/>
              <w:topLinePunct w:val="0"/>
              <w:autoSpaceDE/>
              <w:autoSpaceDN/>
              <w:bidi w:val="0"/>
              <w:adjustRightInd w:val="0"/>
              <w:snapToGrid w:val="0"/>
              <w:spacing w:line="38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农业质量品牌工程。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建立农产品产地质量认证和质量安全追溯制度，建立全程可追溯、互联共享的追溯监管综合服务平台，重点建设农产品质量安全能力提升</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褒河</w:t>
            </w:r>
            <w:r>
              <w:rPr>
                <w:rFonts w:hint="default" w:ascii="Times New Roman" w:hAnsi="Times New Roman" w:cs="Times New Roman"/>
                <w:b w:val="0"/>
                <w:bCs w:val="0"/>
                <w:color w:val="auto"/>
                <w:spacing w:val="0"/>
                <w:kern w:val="2"/>
                <w:sz w:val="24"/>
                <w:szCs w:val="24"/>
                <w:vertAlign w:val="baseline"/>
                <w:lang w:val="en-US" w:eastAsia="zh-CN" w:bidi="ar-SA"/>
              </w:rPr>
              <w:t>蜜橘</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品牌研发及产业化开发</w:t>
            </w:r>
            <w:r>
              <w:rPr>
                <w:rFonts w:hint="default" w:ascii="Times New Roman" w:hAnsi="Times New Roman" w:cs="Times New Roman"/>
                <w:b w:val="0"/>
                <w:bCs w:val="0"/>
                <w:color w:val="auto"/>
                <w:spacing w:val="0"/>
                <w:kern w:val="2"/>
                <w:sz w:val="24"/>
                <w:szCs w:val="24"/>
                <w:vertAlign w:val="baseline"/>
                <w:lang w:val="en-US" w:eastAsia="zh-CN" w:bidi="ar-SA"/>
              </w:rPr>
              <w:t>、刘丞相面皮生产基地、智慧蛋鸡全产业链数字化升级与通证经济应用示范等项目。</w:t>
            </w:r>
          </w:p>
        </w:tc>
      </w:tr>
    </w:tbl>
    <w:p w14:paraId="11448F35">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CESI黑体-GB2312" w:hAnsi="CESI黑体-GB2312" w:eastAsia="CESI黑体-GB2312" w:cs="CESI黑体-GB2312"/>
          <w:lang w:val="en-US" w:eastAsia="zh-CN"/>
        </w:rPr>
      </w:pPr>
      <w:bookmarkStart w:id="95" w:name="_Toc31388"/>
      <w:r>
        <w:rPr>
          <w:rFonts w:hint="eastAsia" w:ascii="CESI黑体-GB2312" w:hAnsi="CESI黑体-GB2312" w:eastAsia="CESI黑体-GB2312" w:cs="CESI黑体-GB2312"/>
          <w:lang w:val="en-US" w:eastAsia="zh-CN"/>
        </w:rPr>
        <w:t xml:space="preserve">第五节  </w:t>
      </w:r>
      <w:bookmarkEnd w:id="92"/>
      <w:bookmarkEnd w:id="93"/>
      <w:bookmarkEnd w:id="94"/>
      <w:r>
        <w:rPr>
          <w:rFonts w:hint="eastAsia" w:ascii="CESI黑体-GB2312" w:hAnsi="CESI黑体-GB2312" w:eastAsia="CESI黑体-GB2312" w:cs="CESI黑体-GB2312"/>
          <w:lang w:val="en-US" w:eastAsia="zh-CN"/>
        </w:rPr>
        <w:t>促进数字经济和实体经济深度融合</w:t>
      </w:r>
      <w:bookmarkEnd w:id="95"/>
    </w:p>
    <w:p w14:paraId="3AF61207">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rPr>
      </w:pPr>
      <w:r>
        <w:rPr>
          <w:rFonts w:hint="default" w:ascii="Times New Roman" w:hAnsi="Times New Roman" w:cs="Times New Roman"/>
          <w:color w:val="auto"/>
          <w:sz w:val="32"/>
          <w:szCs w:val="32"/>
          <w:lang w:val="en-US" w:eastAsia="zh-CN"/>
        </w:rPr>
        <w:t>实施</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人工智能+</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行动，</w:t>
      </w:r>
      <w:r>
        <w:rPr>
          <w:rFonts w:hint="default" w:ascii="Times New Roman" w:hAnsi="Times New Roman" w:eastAsia="仿宋_GB2312" w:cs="Times New Roman"/>
          <w:color w:val="auto"/>
          <w:sz w:val="32"/>
          <w:szCs w:val="32"/>
        </w:rPr>
        <w:t>推进数字产业化和产业数字化，</w:t>
      </w:r>
      <w:r>
        <w:rPr>
          <w:rFonts w:hint="default" w:ascii="Times New Roman" w:hAnsi="Times New Roman" w:eastAsia="仿宋_GB2312" w:cs="Times New Roman"/>
          <w:color w:val="auto"/>
          <w:sz w:val="32"/>
          <w:szCs w:val="32"/>
          <w:lang w:val="en-US" w:eastAsia="zh-CN"/>
        </w:rPr>
        <w:t>培育</w:t>
      </w:r>
      <w:r>
        <w:rPr>
          <w:rFonts w:hint="default" w:ascii="Times New Roman" w:hAnsi="Times New Roman" w:eastAsia="仿宋_GB2312" w:cs="Times New Roman"/>
          <w:color w:val="auto"/>
          <w:kern w:val="2"/>
          <w:sz w:val="32"/>
          <w:szCs w:val="32"/>
          <w:highlight w:val="none"/>
          <w:lang w:val="en-US" w:eastAsia="zh-CN" w:bidi="ar-SA"/>
        </w:rPr>
        <w:t>数字产业集群，</w:t>
      </w:r>
      <w:r>
        <w:rPr>
          <w:rFonts w:hint="default" w:ascii="Times New Roman" w:hAnsi="Times New Roman" w:eastAsia="仿宋_GB2312" w:cs="Times New Roman"/>
          <w:color w:val="auto"/>
          <w:sz w:val="32"/>
          <w:szCs w:val="32"/>
        </w:rPr>
        <w:t>打造区域数字经济发展高地</w:t>
      </w:r>
      <w:r>
        <w:rPr>
          <w:rFonts w:hint="default" w:ascii="Times New Roman" w:hAnsi="Times New Roman" w:eastAsia="仿宋_GB2312" w:cs="Times New Roman"/>
          <w:color w:val="auto"/>
          <w:sz w:val="32"/>
          <w:szCs w:val="32"/>
          <w:highlight w:val="none"/>
          <w:lang w:eastAsia="zh-CN"/>
        </w:rPr>
        <w:t>。</w:t>
      </w:r>
    </w:p>
    <w:p w14:paraId="4ECD24BA">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96" w:name="_Toc6312"/>
      <w:bookmarkStart w:id="97" w:name="_Toc12775"/>
      <w:bookmarkStart w:id="98" w:name="_Toc23758"/>
      <w:bookmarkStart w:id="99" w:name="_Toc8794"/>
      <w:r>
        <w:rPr>
          <w:rFonts w:hint="default" w:ascii="Times New Roman" w:hAnsi="Times New Roman" w:eastAsia="黑体" w:cs="Times New Roman"/>
          <w:b w:val="0"/>
          <w:bCs/>
          <w:color w:val="auto"/>
          <w:sz w:val="32"/>
          <w:szCs w:val="32"/>
          <w:lang w:val="en-US" w:eastAsia="zh-CN"/>
        </w:rPr>
        <w:t>一、深入推进产业数字化</w:t>
      </w:r>
      <w:bookmarkEnd w:id="96"/>
      <w:r>
        <w:rPr>
          <w:rFonts w:hint="default" w:ascii="Times New Roman" w:hAnsi="Times New Roman" w:eastAsia="黑体" w:cs="Times New Roman"/>
          <w:b w:val="0"/>
          <w:bCs/>
          <w:color w:val="auto"/>
          <w:sz w:val="32"/>
          <w:szCs w:val="32"/>
          <w:lang w:val="en-US" w:eastAsia="zh-CN"/>
        </w:rPr>
        <w:t>转型</w:t>
      </w:r>
      <w:bookmarkEnd w:id="97"/>
      <w:bookmarkEnd w:id="98"/>
    </w:p>
    <w:p w14:paraId="31CC50B3">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both"/>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pacing w:val="-6"/>
          <w:sz w:val="32"/>
          <w:szCs w:val="32"/>
          <w:lang w:val="en-US" w:eastAsia="zh-CN"/>
        </w:rPr>
        <w:t>积极赋能工业制造，推动企业</w:t>
      </w:r>
      <w:r>
        <w:rPr>
          <w:rFonts w:hint="eastAsia" w:cs="Times New Roman"/>
          <w:color w:val="auto"/>
          <w:spacing w:val="-6"/>
          <w:sz w:val="32"/>
          <w:szCs w:val="32"/>
          <w:lang w:val="en-US" w:eastAsia="zh-CN"/>
        </w:rPr>
        <w:t>“</w:t>
      </w:r>
      <w:r>
        <w:rPr>
          <w:rFonts w:hint="default" w:ascii="Times New Roman" w:hAnsi="Times New Roman" w:eastAsia="仿宋_GB2312" w:cs="Times New Roman"/>
          <w:color w:val="auto"/>
          <w:spacing w:val="-6"/>
          <w:sz w:val="32"/>
          <w:szCs w:val="32"/>
          <w:lang w:val="en-US" w:eastAsia="zh-CN"/>
        </w:rPr>
        <w:t>上云上平台</w:t>
      </w:r>
      <w:r>
        <w:rPr>
          <w:rFonts w:hint="eastAsia" w:cs="Times New Roman"/>
          <w:color w:val="auto"/>
          <w:spacing w:val="-6"/>
          <w:sz w:val="32"/>
          <w:szCs w:val="32"/>
          <w:lang w:val="en-US" w:eastAsia="zh-CN"/>
        </w:rPr>
        <w:t>”</w:t>
      </w:r>
      <w:r>
        <w:rPr>
          <w:rFonts w:hint="default" w:ascii="Times New Roman" w:hAnsi="Times New Roman" w:eastAsia="仿宋_GB2312" w:cs="Times New Roman"/>
          <w:color w:val="auto"/>
          <w:spacing w:val="-6"/>
          <w:sz w:val="32"/>
          <w:szCs w:val="32"/>
          <w:lang w:val="en-US" w:eastAsia="zh-CN"/>
        </w:rPr>
        <w:t>，实施设备换芯、生产换线、机器换人等智能化改造升级。支持有条件、有基础的企业建设数字化车间</w:t>
      </w:r>
      <w:r>
        <w:rPr>
          <w:rFonts w:hint="default" w:ascii="Times New Roman" w:hAnsi="Times New Roman" w:eastAsia="仿宋_GB2312" w:cs="Times New Roman"/>
          <w:color w:val="auto"/>
          <w:sz w:val="32"/>
          <w:szCs w:val="32"/>
          <w:lang w:val="en-US" w:eastAsia="zh-CN"/>
        </w:rPr>
        <w:t>、智能工厂。大力发展数字农业，实施</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数商兴农</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工程，加快物联网、移动互联网等在农业生产各环节应用。支持物流企业发展智能仓储、无人配送和</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互联网+</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智慧物流新业态。建设智慧商圈，发展体验式、沉浸式文旅消费新业态，开展智慧示范景区创建。创新发展网络体验、智能零售、共享经济、平台经济等新模式新业态，规范发展数字普惠金融，支持发展在线教育、互联网医疗和便捷化线上办公。</w:t>
      </w:r>
    </w:p>
    <w:p w14:paraId="0ADD3513">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100" w:name="_Toc18297"/>
      <w:bookmarkStart w:id="101" w:name="_Toc24455"/>
      <w:r>
        <w:rPr>
          <w:rFonts w:hint="default" w:ascii="Times New Roman" w:hAnsi="Times New Roman" w:eastAsia="黑体" w:cs="Times New Roman"/>
          <w:b w:val="0"/>
          <w:bCs/>
          <w:color w:val="auto"/>
          <w:sz w:val="32"/>
          <w:szCs w:val="32"/>
          <w:lang w:val="en-US" w:eastAsia="zh-CN"/>
        </w:rPr>
        <w:t>二、</w:t>
      </w:r>
      <w:bookmarkEnd w:id="99"/>
      <w:r>
        <w:rPr>
          <w:rFonts w:hint="default" w:ascii="Times New Roman" w:hAnsi="Times New Roman" w:eastAsia="黑体" w:cs="Times New Roman"/>
          <w:b w:val="0"/>
          <w:bCs/>
          <w:color w:val="auto"/>
          <w:sz w:val="32"/>
          <w:szCs w:val="32"/>
          <w:lang w:val="en-US" w:eastAsia="zh-CN"/>
        </w:rPr>
        <w:t>加快推进数字产业化发展</w:t>
      </w:r>
      <w:bookmarkEnd w:id="100"/>
      <w:bookmarkEnd w:id="101"/>
    </w:p>
    <w:p w14:paraId="0483DA2C">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依托</w:t>
      </w:r>
      <w:r>
        <w:rPr>
          <w:rFonts w:hint="default" w:ascii="Times New Roman" w:hAnsi="Times New Roman" w:eastAsia="仿宋_GB2312" w:cs="Times New Roman"/>
          <w:color w:val="auto"/>
          <w:sz w:val="32"/>
          <w:szCs w:val="32"/>
        </w:rPr>
        <w:t>智慧汉台数字经济产业园、</w:t>
      </w:r>
      <w:r>
        <w:rPr>
          <w:rFonts w:hint="default" w:ascii="Times New Roman" w:hAnsi="Times New Roman" w:eastAsia="仿宋_GB2312" w:cs="Times New Roman"/>
          <w:color w:val="auto"/>
          <w:sz w:val="32"/>
          <w:szCs w:val="32"/>
          <w:rtl w:val="0"/>
          <w:lang w:val="zh-TW" w:eastAsia="zh-TW"/>
        </w:rPr>
        <w:t>汉中云商工场</w:t>
      </w:r>
      <w:r>
        <w:rPr>
          <w:rFonts w:hint="default" w:ascii="Times New Roman" w:hAnsi="Times New Roman" w:eastAsia="仿宋_GB2312" w:cs="Times New Roman"/>
          <w:color w:val="auto"/>
          <w:sz w:val="32"/>
          <w:szCs w:val="32"/>
          <w:rtl w:val="0"/>
          <w:lang w:val="en-US" w:eastAsia="zh-CN"/>
        </w:rPr>
        <w:t>等</w:t>
      </w:r>
      <w:r>
        <w:rPr>
          <w:rFonts w:hint="default" w:ascii="Times New Roman" w:hAnsi="Times New Roman" w:eastAsia="仿宋_GB2312" w:cs="Times New Roman"/>
          <w:color w:val="auto"/>
          <w:sz w:val="32"/>
          <w:szCs w:val="32"/>
        </w:rPr>
        <w:t>载体，</w:t>
      </w:r>
      <w:r>
        <w:rPr>
          <w:rFonts w:hint="default" w:ascii="Times New Roman" w:hAnsi="Times New Roman" w:eastAsia="仿宋_GB2312" w:cs="Times New Roman"/>
          <w:color w:val="auto"/>
          <w:sz w:val="32"/>
          <w:szCs w:val="32"/>
          <w:lang w:val="en-US" w:eastAsia="zh-CN"/>
        </w:rPr>
        <w:t>吸引优秀数字经济企业落户汉台，促进上下游企业集聚落地、链式发展</w:t>
      </w:r>
      <w:r>
        <w:rPr>
          <w:rFonts w:hint="default" w:ascii="Times New Roman" w:hAnsi="Times New Roman" w:cs="Times New Roman"/>
          <w:color w:val="auto"/>
          <w:sz w:val="32"/>
          <w:szCs w:val="32"/>
          <w:lang w:val="en-US" w:eastAsia="zh-CN"/>
        </w:rPr>
        <w:t>。</w:t>
      </w:r>
      <w:r>
        <w:rPr>
          <w:rFonts w:hint="default" w:ascii="Times New Roman" w:hAnsi="Times New Roman" w:eastAsia="仿宋_GB2312" w:cs="Times New Roman"/>
          <w:color w:val="auto"/>
          <w:sz w:val="32"/>
          <w:szCs w:val="32"/>
          <w:highlight w:val="none"/>
          <w:lang w:val="en-US" w:eastAsia="zh-CN"/>
        </w:rPr>
        <w:t>鼓励企业发展移动VR（虚拟</w:t>
      </w:r>
      <w:r>
        <w:rPr>
          <w:rFonts w:hint="default" w:ascii="Times New Roman" w:hAnsi="Times New Roman" w:cs="Times New Roman"/>
          <w:color w:val="auto"/>
          <w:sz w:val="32"/>
          <w:szCs w:val="32"/>
          <w:highlight w:val="none"/>
          <w:lang w:val="en-US" w:eastAsia="zh-CN"/>
        </w:rPr>
        <w:t>现实</w:t>
      </w:r>
      <w:r>
        <w:rPr>
          <w:rFonts w:hint="default" w:ascii="Times New Roman" w:hAnsi="Times New Roman" w:eastAsia="仿宋_GB2312" w:cs="Times New Roman"/>
          <w:color w:val="auto"/>
          <w:sz w:val="32"/>
          <w:szCs w:val="32"/>
          <w:highlight w:val="none"/>
          <w:lang w:val="en-US" w:eastAsia="zh-CN"/>
        </w:rPr>
        <w:t>）终端、手持式AR（增强现实）终端、空间展示类AR等虚拟（增强）现实产品，探索构建数字虚拟现实产业链。</w:t>
      </w:r>
      <w:r>
        <w:rPr>
          <w:rFonts w:hint="default" w:ascii="Times New Roman" w:hAnsi="Times New Roman" w:eastAsia="仿宋_GB2312" w:cs="Times New Roman"/>
          <w:color w:val="auto"/>
          <w:sz w:val="32"/>
          <w:szCs w:val="32"/>
        </w:rPr>
        <w:t>发展面向工业制造、消费升级、智慧农业等应用场景的大数据产品和服务，</w:t>
      </w:r>
      <w:r>
        <w:rPr>
          <w:rFonts w:hint="default" w:ascii="Times New Roman" w:hAnsi="Times New Roman" w:eastAsia="仿宋_GB2312" w:cs="Times New Roman"/>
          <w:color w:val="auto"/>
          <w:sz w:val="32"/>
          <w:szCs w:val="32"/>
          <w:lang w:val="en-US" w:eastAsia="zh-CN"/>
        </w:rPr>
        <w:t>加快形成三次产业深度融合的数字经济产业链条，提升数字经济规模，建成陕甘川毗邻地区数字产业集聚区。</w:t>
      </w:r>
    </w:p>
    <w:p w14:paraId="53DEF0F9">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102" w:name="_Toc8080"/>
      <w:bookmarkStart w:id="103" w:name="_Toc32173"/>
      <w:bookmarkStart w:id="104" w:name="_Toc26393"/>
      <w:r>
        <w:rPr>
          <w:rFonts w:hint="default" w:ascii="Times New Roman" w:hAnsi="Times New Roman" w:eastAsia="黑体" w:cs="Times New Roman"/>
          <w:b w:val="0"/>
          <w:bCs/>
          <w:color w:val="auto"/>
          <w:sz w:val="32"/>
          <w:szCs w:val="32"/>
          <w:lang w:val="en-US" w:eastAsia="zh-CN"/>
        </w:rPr>
        <w:t>三、</w:t>
      </w:r>
      <w:bookmarkEnd w:id="102"/>
      <w:bookmarkEnd w:id="103"/>
      <w:r>
        <w:rPr>
          <w:rFonts w:hint="default" w:ascii="Times New Roman" w:hAnsi="Times New Roman" w:eastAsia="黑体" w:cs="Times New Roman"/>
          <w:b w:val="0"/>
          <w:bCs/>
          <w:color w:val="auto"/>
          <w:sz w:val="32"/>
          <w:szCs w:val="32"/>
          <w:lang w:val="en-US" w:eastAsia="zh-CN"/>
        </w:rPr>
        <w:t>打造多元数字应用场景</w:t>
      </w:r>
    </w:p>
    <w:p w14:paraId="7BCE6F4D">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eastAsia="楷体_GB2312" w:cs="Times New Roman"/>
          <w:b w:val="0"/>
          <w:bCs w:val="0"/>
          <w:color w:val="auto"/>
        </w:rPr>
        <w:t>提升城市智慧管理水平。</w:t>
      </w:r>
      <w:r>
        <w:rPr>
          <w:rFonts w:hint="default" w:ascii="Times New Roman" w:hAnsi="Times New Roman" w:cs="Times New Roman"/>
          <w:color w:val="auto"/>
          <w:szCs w:val="32"/>
        </w:rPr>
        <w:t>推动数字技术全面融入城市管理，</w:t>
      </w:r>
      <w:r>
        <w:rPr>
          <w:rFonts w:hint="default" w:ascii="Times New Roman" w:hAnsi="Times New Roman" w:eastAsia="仿宋_GB2312" w:cs="Times New Roman"/>
          <w:color w:val="auto"/>
          <w:sz w:val="32"/>
          <w:szCs w:val="32"/>
        </w:rPr>
        <w:t>建设三维城市可视化平台、城市视频大数据平台，</w:t>
      </w:r>
      <w:r>
        <w:rPr>
          <w:rFonts w:hint="default" w:ascii="Times New Roman" w:hAnsi="Times New Roman" w:eastAsia="仿宋_GB2312" w:cs="Times New Roman"/>
          <w:color w:val="auto"/>
          <w:spacing w:val="-6"/>
          <w:sz w:val="32"/>
          <w:szCs w:val="32"/>
          <w:lang w:val="en-US" w:eastAsia="zh-CN"/>
        </w:rPr>
        <w:t>加快部门核心业务数字化，</w:t>
      </w:r>
      <w:r>
        <w:rPr>
          <w:rFonts w:hint="default" w:ascii="Times New Roman" w:hAnsi="Times New Roman" w:eastAsia="仿宋_GB2312" w:cs="Times New Roman"/>
          <w:color w:val="auto"/>
          <w:sz w:val="32"/>
          <w:szCs w:val="32"/>
        </w:rPr>
        <w:t>构筑</w:t>
      </w:r>
      <w:r>
        <w:rPr>
          <w:rFonts w:hint="eastAsia" w:cs="Times New Roman"/>
          <w:color w:val="auto"/>
          <w:sz w:val="32"/>
          <w:szCs w:val="32"/>
          <w:lang w:eastAsia="zh-CN"/>
        </w:rPr>
        <w:t>“</w:t>
      </w:r>
      <w:r>
        <w:rPr>
          <w:rFonts w:hint="default" w:ascii="Times New Roman" w:hAnsi="Times New Roman" w:eastAsia="仿宋_GB2312" w:cs="Times New Roman"/>
          <w:color w:val="auto"/>
          <w:sz w:val="32"/>
          <w:szCs w:val="32"/>
        </w:rPr>
        <w:t>城市大脑</w:t>
      </w:r>
      <w:r>
        <w:rPr>
          <w:rFonts w:hint="eastAsia" w:cs="Times New Roman"/>
          <w:color w:val="auto"/>
          <w:sz w:val="32"/>
          <w:szCs w:val="32"/>
          <w:lang w:eastAsia="zh-CN"/>
        </w:rPr>
        <w:t>”</w:t>
      </w:r>
      <w:r>
        <w:rPr>
          <w:rFonts w:hint="default" w:ascii="Times New Roman" w:hAnsi="Times New Roman" w:eastAsia="仿宋_GB2312" w:cs="Times New Roman"/>
          <w:color w:val="auto"/>
          <w:sz w:val="32"/>
          <w:szCs w:val="32"/>
          <w:lang w:eastAsia="zh-CN"/>
        </w:rPr>
        <w:t>，</w:t>
      </w:r>
      <w:r>
        <w:rPr>
          <w:rFonts w:hint="default" w:ascii="Times New Roman" w:hAnsi="Times New Roman" w:cs="Times New Roman"/>
          <w:color w:val="auto"/>
          <w:kern w:val="0"/>
          <w:szCs w:val="32"/>
          <w:lang w:val="en-US" w:eastAsia="zh-CN"/>
        </w:rPr>
        <w:t>打造智慧政务、智慧城管、智慧环保、智慧水利等应用场景，</w:t>
      </w:r>
      <w:r>
        <w:rPr>
          <w:rFonts w:hint="default" w:ascii="Times New Roman" w:hAnsi="Times New Roman" w:eastAsia="仿宋_GB2312" w:cs="Times New Roman"/>
          <w:color w:val="auto"/>
          <w:spacing w:val="-6"/>
          <w:sz w:val="32"/>
          <w:szCs w:val="32"/>
          <w:lang w:val="en-US" w:eastAsia="zh-CN"/>
        </w:rPr>
        <w:t>实现</w:t>
      </w:r>
      <w:r>
        <w:rPr>
          <w:rFonts w:hint="eastAsia" w:cs="Times New Roman"/>
          <w:color w:val="auto"/>
          <w:spacing w:val="-6"/>
          <w:sz w:val="32"/>
          <w:szCs w:val="32"/>
          <w:lang w:val="en-US" w:eastAsia="zh-CN"/>
        </w:rPr>
        <w:t>“</w:t>
      </w:r>
      <w:r>
        <w:rPr>
          <w:rFonts w:hint="default" w:ascii="Times New Roman" w:hAnsi="Times New Roman" w:eastAsia="仿宋_GB2312" w:cs="Times New Roman"/>
          <w:color w:val="auto"/>
          <w:spacing w:val="-6"/>
          <w:sz w:val="32"/>
          <w:szCs w:val="32"/>
          <w:lang w:val="en-US" w:eastAsia="zh-CN"/>
        </w:rPr>
        <w:t>一网通用、一网通办、一网统管</w:t>
      </w:r>
      <w:r>
        <w:rPr>
          <w:rFonts w:hint="eastAsia" w:cs="Times New Roman"/>
          <w:color w:val="auto"/>
          <w:spacing w:val="-6"/>
          <w:sz w:val="32"/>
          <w:szCs w:val="32"/>
          <w:lang w:val="en-US" w:eastAsia="zh-CN"/>
        </w:rPr>
        <w:t>”</w:t>
      </w:r>
      <w:r>
        <w:rPr>
          <w:rFonts w:hint="default" w:ascii="Times New Roman" w:hAnsi="Times New Roman" w:eastAsia="仿宋_GB2312" w:cs="Times New Roman"/>
          <w:color w:val="auto"/>
          <w:spacing w:val="-6"/>
          <w:sz w:val="32"/>
          <w:szCs w:val="32"/>
          <w:lang w:val="en-US" w:eastAsia="zh-CN"/>
        </w:rPr>
        <w:t>，</w:t>
      </w:r>
      <w:r>
        <w:rPr>
          <w:rFonts w:hint="default" w:ascii="Times New Roman" w:hAnsi="Times New Roman" w:cs="Times New Roman"/>
          <w:color w:val="auto"/>
          <w:kern w:val="0"/>
          <w:szCs w:val="32"/>
          <w:lang w:val="en-US" w:eastAsia="zh-CN"/>
        </w:rPr>
        <w:t>着力降低制度性交易成本</w:t>
      </w:r>
      <w:r>
        <w:rPr>
          <w:rFonts w:hint="default" w:ascii="Times New Roman" w:hAnsi="Times New Roman" w:cs="Times New Roman"/>
          <w:color w:val="auto"/>
          <w:kern w:val="0"/>
          <w:szCs w:val="32"/>
        </w:rPr>
        <w:t>，让企业、市民在反映问题、获取帮助时更有感受、更有温度</w:t>
      </w:r>
      <w:r>
        <w:rPr>
          <w:rFonts w:hint="default" w:ascii="Times New Roman" w:hAnsi="Times New Roman" w:cs="Times New Roman"/>
          <w:color w:val="auto"/>
          <w:szCs w:val="32"/>
        </w:rPr>
        <w:t>。</w:t>
      </w:r>
    </w:p>
    <w:p w14:paraId="11EE3215">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sz w:val="32"/>
          <w:szCs w:val="32"/>
          <w:lang w:val="en-US" w:eastAsia="zh-CN"/>
        </w:rPr>
      </w:pPr>
      <w:r>
        <w:rPr>
          <w:rFonts w:hint="default" w:ascii="Times New Roman" w:hAnsi="Times New Roman" w:eastAsia="楷体_GB2312" w:cs="Times New Roman"/>
          <w:b w:val="0"/>
          <w:bCs w:val="0"/>
          <w:color w:val="auto"/>
          <w:lang w:val="en-US" w:eastAsia="zh-CN"/>
        </w:rPr>
        <w:t>推进数字社会迭代升级。</w:t>
      </w:r>
      <w:r>
        <w:rPr>
          <w:rFonts w:hint="default" w:ascii="Times New Roman" w:hAnsi="Times New Roman" w:cs="Times New Roman"/>
          <w:color w:val="auto"/>
          <w:sz w:val="32"/>
          <w:szCs w:val="32"/>
          <w:lang w:val="en-US" w:eastAsia="zh-CN"/>
        </w:rPr>
        <w:t>坚持数字惠民便民，围绕重点民生领域加强数字公共服务供给，着力打造</w:t>
      </w:r>
      <w:r>
        <w:rPr>
          <w:rFonts w:hint="default" w:ascii="Times New Roman" w:hAnsi="Times New Roman" w:eastAsia="仿宋_GB2312" w:cs="Times New Roman"/>
          <w:color w:val="auto"/>
          <w:sz w:val="32"/>
          <w:szCs w:val="32"/>
        </w:rPr>
        <w:t>智慧交通、智慧医疗、</w:t>
      </w:r>
      <w:r>
        <w:rPr>
          <w:rFonts w:hint="default" w:ascii="Times New Roman" w:hAnsi="Times New Roman" w:cs="Times New Roman"/>
          <w:color w:val="auto"/>
          <w:sz w:val="32"/>
          <w:szCs w:val="32"/>
          <w:lang w:val="en-US" w:eastAsia="zh-CN"/>
        </w:rPr>
        <w:t>智慧养老、</w:t>
      </w:r>
      <w:r>
        <w:rPr>
          <w:rFonts w:hint="default" w:ascii="Times New Roman" w:hAnsi="Times New Roman" w:eastAsia="仿宋_GB2312" w:cs="Times New Roman"/>
          <w:color w:val="auto"/>
          <w:sz w:val="32"/>
          <w:szCs w:val="32"/>
        </w:rPr>
        <w:t>智慧教育等应用场景</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lang w:val="en-US" w:eastAsia="zh-CN"/>
        </w:rPr>
        <w:t>加快数字家庭、智慧社区（村居）建设，鼓励建设智慧商圈。</w:t>
      </w:r>
    </w:p>
    <w:bookmarkEnd w:id="104"/>
    <w:p w14:paraId="56EA3492">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105" w:name="_Toc19751"/>
      <w:bookmarkStart w:id="106" w:name="_Toc24116"/>
      <w:bookmarkStart w:id="107" w:name="_Toc32016"/>
      <w:r>
        <w:rPr>
          <w:rFonts w:hint="default" w:ascii="Times New Roman" w:hAnsi="Times New Roman" w:eastAsia="黑体" w:cs="Times New Roman"/>
          <w:b w:val="0"/>
          <w:bCs/>
          <w:color w:val="auto"/>
          <w:sz w:val="32"/>
          <w:szCs w:val="32"/>
          <w:lang w:val="en-US" w:eastAsia="zh-CN"/>
        </w:rPr>
        <w:t>四、</w:t>
      </w:r>
      <w:bookmarkEnd w:id="105"/>
      <w:r>
        <w:rPr>
          <w:rFonts w:hint="default" w:ascii="Times New Roman" w:hAnsi="Times New Roman" w:eastAsia="黑体" w:cs="Times New Roman"/>
          <w:b w:val="0"/>
          <w:bCs/>
          <w:color w:val="auto"/>
          <w:sz w:val="32"/>
          <w:szCs w:val="32"/>
          <w:lang w:val="en-US" w:eastAsia="zh-CN"/>
        </w:rPr>
        <w:t>深化数据资源开发利用</w:t>
      </w:r>
      <w:bookmarkEnd w:id="106"/>
      <w:bookmarkEnd w:id="107"/>
    </w:p>
    <w:p w14:paraId="4C58B6B2">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both"/>
        <w:textAlignment w:val="center"/>
        <w:rPr>
          <w:rFonts w:hint="default" w:ascii="Times New Roman" w:hAnsi="Times New Roman" w:eastAsia="仿宋_GB2312" w:cs="Times New Roman"/>
          <w:color w:val="auto"/>
          <w:spacing w:val="-6"/>
          <w:sz w:val="32"/>
          <w:szCs w:val="32"/>
          <w:lang w:val="en-US" w:eastAsia="zh-CN"/>
        </w:rPr>
      </w:pPr>
      <w:r>
        <w:rPr>
          <w:rFonts w:hint="default" w:ascii="Times New Roman" w:hAnsi="Times New Roman" w:eastAsia="仿宋_GB2312" w:cs="Times New Roman"/>
          <w:color w:val="auto"/>
          <w:spacing w:val="-6"/>
          <w:sz w:val="32"/>
          <w:szCs w:val="32"/>
          <w:lang w:val="en-US" w:eastAsia="zh-CN"/>
        </w:rPr>
        <w:t>统筹汉台区数据中心及云平台资源，健全政务数据资源目录，统筹推动数据资源汇聚整合。启动政务数据需求调查，开展各行业领域信息资源供需对接，逐步实现各类信息资源开放共享。加快培育数据要素市场，促进数据高效流通，维护国家数据安全，保护个人信息和商业秘密，严守区域数据安全底线。</w:t>
      </w:r>
    </w:p>
    <w:tbl>
      <w:tblPr>
        <w:tblStyle w:val="15"/>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8"/>
      </w:tblGrid>
      <w:tr w14:paraId="36F6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8828" w:type="dxa"/>
            <w:noWrap w:val="0"/>
            <w:vAlign w:val="center"/>
          </w:tcPr>
          <w:p w14:paraId="09A871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专栏2-12  数字经济发展工程</w:t>
            </w:r>
          </w:p>
        </w:tc>
      </w:tr>
      <w:tr w14:paraId="2F91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noWrap w:val="0"/>
            <w:vAlign w:val="top"/>
          </w:tcPr>
          <w:p w14:paraId="08BE505F">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b/>
                <w:bCs/>
                <w:color w:val="auto"/>
                <w:spacing w:val="0"/>
                <w:kern w:val="2"/>
                <w:sz w:val="24"/>
                <w:szCs w:val="24"/>
                <w:vertAlign w:val="baseline"/>
                <w:lang w:val="en-US" w:eastAsia="zh-CN" w:bidi="ar-SA"/>
              </w:rPr>
            </w:pPr>
            <w:r>
              <w:rPr>
                <w:rFonts w:hint="default" w:ascii="Times New Roman" w:hAnsi="Times New Roman" w:cs="Times New Roman"/>
                <w:b w:val="0"/>
                <w:bCs w:val="0"/>
                <w:color w:val="auto"/>
                <w:spacing w:val="0"/>
                <w:kern w:val="2"/>
                <w:sz w:val="24"/>
                <w:szCs w:val="24"/>
                <w:vertAlign w:val="baseline"/>
                <w:lang w:val="en-US" w:eastAsia="zh-CN" w:bidi="ar-SA"/>
              </w:rPr>
              <w:t>重点建设容器自动化生产线改造、精密异型刀具智慧工厂、奥翔二期数字产业园区、</w:t>
            </w:r>
            <w:r>
              <w:rPr>
                <w:rFonts w:hint="default" w:ascii="Times New Roman" w:hAnsi="Times New Roman" w:eastAsia="仿宋_GB2312" w:cs="Times New Roman"/>
                <w:b w:val="0"/>
                <w:bCs w:val="0"/>
                <w:color w:val="auto"/>
                <w:spacing w:val="0"/>
                <w:kern w:val="2"/>
                <w:sz w:val="24"/>
                <w:szCs w:val="24"/>
                <w:vertAlign w:val="baseline"/>
                <w:lang w:val="en-US" w:eastAsia="zh-CN" w:bidi="ar-SA"/>
              </w:rPr>
              <w:t>汉中市工业互联网标识解析二级节点</w:t>
            </w:r>
            <w:r>
              <w:rPr>
                <w:rFonts w:hint="default" w:ascii="Times New Roman" w:hAnsi="Times New Roman" w:cs="Times New Roman"/>
                <w:b w:val="0"/>
                <w:bCs w:val="0"/>
                <w:color w:val="auto"/>
                <w:spacing w:val="0"/>
                <w:kern w:val="2"/>
                <w:sz w:val="24"/>
                <w:szCs w:val="24"/>
                <w:vertAlign w:val="baseline"/>
                <w:lang w:val="en-US" w:eastAsia="zh-CN" w:bidi="ar-SA"/>
              </w:rPr>
              <w:t>、汉台区AI算力及智慧政务服务、汉台区5G+智慧城管暨城市运行管理服务平台、汉台区数字管网智能化、汉台区数字底座交通调度中心及应用场景、汉台区数据安全基础设施等项目。</w:t>
            </w:r>
          </w:p>
        </w:tc>
      </w:tr>
    </w:tbl>
    <w:p w14:paraId="6956DABE">
      <w:pPr>
        <w:rPr>
          <w:rFonts w:hint="default" w:ascii="Times New Roman" w:hAnsi="Times New Roman" w:cs="Times New Roman"/>
          <w:color w:val="auto"/>
          <w:lang w:val="en-US" w:eastAsia="zh-CN"/>
        </w:rPr>
        <w:sectPr>
          <w:pgSz w:w="11906" w:h="16838"/>
          <w:pgMar w:top="2098" w:right="1474" w:bottom="1984" w:left="1587" w:header="851" w:footer="1304" w:gutter="0"/>
          <w:paperSrc/>
          <w:pgBorders>
            <w:top w:val="none" w:sz="0" w:space="0"/>
            <w:left w:val="none" w:sz="0" w:space="0"/>
            <w:bottom w:val="none" w:sz="0" w:space="0"/>
            <w:right w:val="none" w:sz="0" w:space="0"/>
          </w:pgBorders>
          <w:pgNumType w:fmt="decimal"/>
          <w:cols w:space="720" w:num="1"/>
          <w:rtlGutter w:val="0"/>
          <w:docGrid w:type="linesAndChars" w:linePitch="579" w:charSpace="-842"/>
        </w:sectPr>
      </w:pPr>
      <w:bookmarkStart w:id="108" w:name="_Toc16874"/>
      <w:bookmarkStart w:id="109" w:name="_Toc25265"/>
    </w:p>
    <w:p w14:paraId="727471D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bookmarkStart w:id="110" w:name="_Toc23803"/>
      <w:r>
        <w:rPr>
          <w:rFonts w:hint="eastAsia" w:ascii="方正小标宋简体" w:hAnsi="方正小标宋简体" w:eastAsia="方正小标宋简体" w:cs="方正小标宋简体"/>
          <w:sz w:val="44"/>
          <w:szCs w:val="44"/>
          <w:lang w:val="en-US" w:eastAsia="zh-CN"/>
        </w:rPr>
        <w:t>第三章  强化科技创新引领，</w:t>
      </w:r>
      <w:bookmarkEnd w:id="108"/>
      <w:bookmarkEnd w:id="109"/>
      <w:r>
        <w:rPr>
          <w:rFonts w:hint="eastAsia" w:ascii="方正小标宋简体" w:hAnsi="方正小标宋简体" w:eastAsia="方正小标宋简体" w:cs="方正小标宋简体"/>
          <w:sz w:val="44"/>
          <w:szCs w:val="44"/>
          <w:lang w:val="en-US" w:eastAsia="zh-CN"/>
        </w:rPr>
        <w:t>建设新质</w:t>
      </w:r>
    </w:p>
    <w:p w14:paraId="4CCD1D8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生产力先行区</w:t>
      </w:r>
      <w:bookmarkEnd w:id="110"/>
    </w:p>
    <w:p w14:paraId="14362B1F">
      <w:pPr>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eastAsia="仿宋_GB2312" w:cs="Times New Roman"/>
          <w:color w:val="auto"/>
          <w:sz w:val="32"/>
          <w:szCs w:val="32"/>
          <w:lang w:val="en-US" w:eastAsia="zh-CN"/>
        </w:rPr>
      </w:pPr>
    </w:p>
    <w:p w14:paraId="1436BD28">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坚持创新在现代化建设全局中的核心地位，以创新型城市建设为抓手，深化科技体制改革，推动科技创新和产业创新深度融合，全面增强自主创新能力，不断催生新质生产力，</w:t>
      </w:r>
      <w:r>
        <w:rPr>
          <w:rFonts w:hint="default" w:ascii="Times New Roman" w:hAnsi="Times New Roman" w:eastAsia="仿宋_GB2312" w:cs="Times New Roman"/>
          <w:b w:val="0"/>
          <w:bCs w:val="0"/>
          <w:color w:val="auto"/>
          <w:sz w:val="32"/>
          <w:szCs w:val="32"/>
          <w:highlight w:val="none"/>
          <w:u w:val="none"/>
          <w:rtl w:val="0"/>
          <w:lang w:val="en-US" w:eastAsia="zh-CN"/>
        </w:rPr>
        <w:t>争创区域科技创新驱动高地</w:t>
      </w:r>
      <w:r>
        <w:rPr>
          <w:rFonts w:hint="default" w:ascii="Times New Roman" w:hAnsi="Times New Roman" w:cs="Times New Roman"/>
          <w:b w:val="0"/>
          <w:bCs w:val="0"/>
          <w:color w:val="auto"/>
          <w:sz w:val="32"/>
          <w:szCs w:val="32"/>
          <w:highlight w:val="none"/>
          <w:u w:val="none"/>
          <w:rtl w:val="0"/>
          <w:lang w:val="en-US" w:eastAsia="zh-CN"/>
        </w:rPr>
        <w:t>，</w:t>
      </w:r>
      <w:r>
        <w:rPr>
          <w:rFonts w:hint="default" w:ascii="Times New Roman" w:hAnsi="Times New Roman" w:eastAsia="仿宋_GB2312" w:cs="Times New Roman"/>
          <w:color w:val="auto"/>
          <w:sz w:val="32"/>
          <w:szCs w:val="32"/>
          <w:lang w:val="en-US" w:eastAsia="zh-CN"/>
        </w:rPr>
        <w:t>建设</w:t>
      </w:r>
      <w:r>
        <w:rPr>
          <w:rFonts w:hint="default" w:ascii="Times New Roman" w:hAnsi="Times New Roman" w:cs="Times New Roman"/>
          <w:color w:val="auto"/>
          <w:sz w:val="32"/>
          <w:szCs w:val="32"/>
          <w:lang w:val="en-US" w:eastAsia="zh-CN"/>
        </w:rPr>
        <w:t>陕南</w:t>
      </w:r>
      <w:r>
        <w:rPr>
          <w:rFonts w:hint="default" w:ascii="Times New Roman" w:hAnsi="Times New Roman" w:eastAsia="仿宋_GB2312" w:cs="Times New Roman"/>
          <w:color w:val="auto"/>
          <w:sz w:val="32"/>
          <w:szCs w:val="32"/>
          <w:lang w:val="en-US" w:eastAsia="zh-CN"/>
        </w:rPr>
        <w:t>新质生产力先行区。</w:t>
      </w:r>
    </w:p>
    <w:p w14:paraId="101EE978">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CESI黑体-GB2312" w:hAnsi="CESI黑体-GB2312" w:eastAsia="CESI黑体-GB2312" w:cs="CESI黑体-GB2312"/>
          <w:lang w:val="en-US" w:eastAsia="zh-CN"/>
        </w:rPr>
      </w:pPr>
      <w:bookmarkStart w:id="111" w:name="_Toc9309"/>
      <w:bookmarkStart w:id="112" w:name="_Toc18201"/>
      <w:bookmarkStart w:id="113" w:name="_Toc26908"/>
      <w:r>
        <w:rPr>
          <w:rFonts w:hint="eastAsia" w:ascii="CESI黑体-GB2312" w:hAnsi="CESI黑体-GB2312" w:eastAsia="CESI黑体-GB2312" w:cs="CESI黑体-GB2312"/>
          <w:lang w:val="en-US" w:eastAsia="zh-CN"/>
        </w:rPr>
        <w:t>第一节  加强科技创新平台建设</w:t>
      </w:r>
      <w:bookmarkEnd w:id="111"/>
      <w:bookmarkEnd w:id="112"/>
      <w:bookmarkEnd w:id="113"/>
    </w:p>
    <w:p w14:paraId="357B9730">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rtl w:val="0"/>
          <w:lang w:val="en-US" w:eastAsia="zh-CN"/>
        </w:rPr>
      </w:pPr>
      <w:bookmarkStart w:id="114" w:name="_Toc23266"/>
      <w:bookmarkStart w:id="115" w:name="_Toc15344"/>
      <w:r>
        <w:rPr>
          <w:rFonts w:hint="default" w:ascii="Times New Roman" w:hAnsi="Times New Roman" w:eastAsia="黑体" w:cs="Times New Roman"/>
          <w:b w:val="0"/>
          <w:bCs/>
          <w:color w:val="auto"/>
          <w:sz w:val="32"/>
          <w:szCs w:val="32"/>
          <w:rtl w:val="0"/>
          <w:lang w:val="en-US" w:eastAsia="zh-CN"/>
        </w:rPr>
        <w:t>一、深度融入秦创原创新驱动平台</w:t>
      </w:r>
      <w:bookmarkEnd w:id="114"/>
      <w:bookmarkEnd w:id="115"/>
    </w:p>
    <w:p w14:paraId="3BBE448C">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cs="Times New Roman"/>
          <w:color w:val="auto"/>
          <w:lang w:val="en-US" w:eastAsia="zh-CN"/>
        </w:rPr>
        <w:t>发挥秦创原创新驱动平台的核心引领作用，优化提升秦创原（汉中）创新促进中心汉台分中心服务机制，常态化对接技术需求和科技成果等创新资源，推动秦创原科技成果在汉台转化孵化。</w:t>
      </w:r>
      <w:r>
        <w:rPr>
          <w:rFonts w:hint="default" w:ascii="Times New Roman" w:hAnsi="Times New Roman" w:eastAsia="仿宋_GB2312" w:cs="Times New Roman"/>
          <w:color w:val="auto"/>
          <w:sz w:val="32"/>
          <w:szCs w:val="32"/>
          <w:lang w:val="en-US" w:eastAsia="zh-CN"/>
        </w:rPr>
        <w:t>聚焦汉台产业创新需求，</w:t>
      </w:r>
      <w:r>
        <w:rPr>
          <w:rFonts w:hint="default" w:ascii="Times New Roman" w:hAnsi="Times New Roman" w:cs="Times New Roman"/>
          <w:color w:val="auto"/>
          <w:lang w:val="en-US" w:eastAsia="zh-CN"/>
        </w:rPr>
        <w:t>建好技术、人才、平台、政策</w:t>
      </w:r>
      <w:r>
        <w:rPr>
          <w:rFonts w:hint="eastAsia" w:cs="Times New Roman"/>
          <w:color w:val="auto"/>
          <w:lang w:val="en-US" w:eastAsia="zh-CN"/>
        </w:rPr>
        <w:t>“</w:t>
      </w:r>
      <w:r>
        <w:rPr>
          <w:rFonts w:hint="default" w:ascii="Times New Roman" w:hAnsi="Times New Roman" w:cs="Times New Roman"/>
          <w:color w:val="auto"/>
          <w:lang w:val="en-US" w:eastAsia="zh-CN"/>
        </w:rPr>
        <w:t>四张清单</w:t>
      </w:r>
      <w:r>
        <w:rPr>
          <w:rFonts w:hint="eastAsia" w:cs="Times New Roman"/>
          <w:color w:val="auto"/>
          <w:lang w:val="en-US" w:eastAsia="zh-CN"/>
        </w:rPr>
        <w:t>”</w:t>
      </w:r>
      <w:r>
        <w:rPr>
          <w:rFonts w:hint="default" w:ascii="Times New Roman" w:hAnsi="Times New Roman" w:cs="Times New Roman"/>
          <w:color w:val="auto"/>
          <w:lang w:val="en-US" w:eastAsia="zh-CN"/>
        </w:rPr>
        <w:t>，争取更多项目和企业纳入汉中市秦创原航空装备制造产业聚集区支持范围。借助秦创原汉台分中心、院士专家工作站等桥梁作用，主动对接省内外创新资源，</w:t>
      </w:r>
      <w:r>
        <w:rPr>
          <w:rFonts w:hint="default" w:ascii="Times New Roman" w:hAnsi="Times New Roman" w:eastAsia="仿宋_GB2312" w:cs="Times New Roman"/>
          <w:color w:val="auto"/>
          <w:sz w:val="32"/>
          <w:szCs w:val="32"/>
          <w:highlight w:val="none"/>
        </w:rPr>
        <w:t>鼓励企业与高校、科研院所建立多形式合作关系，推动共建一批研发平台</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支持龙头企业与域内外高校、科研院所共建技术创新联合体、工程技术研究中心等创新平台</w:t>
      </w:r>
      <w:r>
        <w:rPr>
          <w:rFonts w:hint="default" w:ascii="Times New Roman" w:hAnsi="Times New Roman" w:cs="Times New Roman"/>
          <w:color w:val="auto"/>
          <w:sz w:val="32"/>
          <w:szCs w:val="32"/>
          <w:highlight w:val="none"/>
          <w:lang w:eastAsia="zh-CN"/>
        </w:rPr>
        <w:t>，</w:t>
      </w:r>
      <w:r>
        <w:rPr>
          <w:rFonts w:hint="default" w:ascii="Times New Roman" w:hAnsi="Times New Roman" w:cs="Times New Roman"/>
          <w:color w:val="auto"/>
          <w:szCs w:val="32"/>
        </w:rPr>
        <w:t>组建一批技术研究院、产学研协同创新中心和公共研发平台，打造陕南科创资源聚集高地。</w:t>
      </w:r>
    </w:p>
    <w:p w14:paraId="75D2DB95">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rtl w:val="0"/>
          <w:lang w:val="en-US" w:eastAsia="zh-CN"/>
        </w:rPr>
      </w:pPr>
      <w:bookmarkStart w:id="116" w:name="_Toc13741"/>
      <w:bookmarkStart w:id="117" w:name="_Toc16735"/>
      <w:r>
        <w:rPr>
          <w:rFonts w:hint="default" w:ascii="Times New Roman" w:hAnsi="Times New Roman" w:eastAsia="黑体" w:cs="Times New Roman"/>
          <w:b w:val="0"/>
          <w:bCs/>
          <w:color w:val="auto"/>
          <w:sz w:val="32"/>
          <w:szCs w:val="32"/>
          <w:rtl w:val="0"/>
          <w:lang w:val="en-US" w:eastAsia="zh-CN"/>
        </w:rPr>
        <w:t>二、培育高水平创新平台</w:t>
      </w:r>
      <w:bookmarkEnd w:id="116"/>
      <w:bookmarkEnd w:id="117"/>
    </w:p>
    <w:p w14:paraId="3C60D671">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cs="Times New Roman"/>
          <w:color w:val="auto"/>
          <w:szCs w:val="32"/>
        </w:rPr>
        <w:t>鼓励企业创建博士后工作站、院士专家工作站</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lang w:val="en-US" w:eastAsia="zh-CN"/>
        </w:rPr>
        <w:t>与高校、科研院所合作共建共性技术研发平台、创新联合体，支持具备条件的企业建设工程（技术）研究中心、企业技术中心、重点实验室等省级创新平台，积极争创国家企业技术中心、孵化器、双创平台等国字号创新平台。争取有条件、有基础的国家、省级重点实验室分中心、概念验证中心、中试基地在汉台落地。</w:t>
      </w:r>
      <w:r>
        <w:rPr>
          <w:rFonts w:hint="default" w:ascii="Times New Roman" w:hAnsi="Times New Roman" w:cs="Times New Roman"/>
          <w:color w:val="auto"/>
          <w:szCs w:val="32"/>
        </w:rPr>
        <w:t>到20</w:t>
      </w:r>
      <w:r>
        <w:rPr>
          <w:rFonts w:hint="default" w:ascii="Times New Roman" w:hAnsi="Times New Roman" w:cs="Times New Roman"/>
          <w:color w:val="auto"/>
          <w:szCs w:val="32"/>
          <w:lang w:val="en-US" w:eastAsia="zh-CN"/>
        </w:rPr>
        <w:t>30</w:t>
      </w:r>
      <w:r>
        <w:rPr>
          <w:rFonts w:hint="default" w:ascii="Times New Roman" w:hAnsi="Times New Roman" w:cs="Times New Roman"/>
          <w:color w:val="auto"/>
          <w:szCs w:val="32"/>
        </w:rPr>
        <w:t>年，累计建成各类创新平台50个。</w:t>
      </w:r>
    </w:p>
    <w:p w14:paraId="07E91F40">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rtl w:val="0"/>
          <w:lang w:val="en-US" w:eastAsia="zh-CN"/>
        </w:rPr>
      </w:pPr>
      <w:bookmarkStart w:id="118" w:name="_Toc5987"/>
      <w:bookmarkStart w:id="119" w:name="_Toc29132"/>
      <w:r>
        <w:rPr>
          <w:rFonts w:hint="default" w:ascii="Times New Roman" w:hAnsi="Times New Roman" w:eastAsia="黑体" w:cs="Times New Roman"/>
          <w:b w:val="0"/>
          <w:bCs/>
          <w:color w:val="auto"/>
          <w:sz w:val="32"/>
          <w:szCs w:val="32"/>
          <w:rtl w:val="0"/>
          <w:lang w:val="en-US" w:eastAsia="zh-CN"/>
        </w:rPr>
        <w:t>三、打造高能级孵化平台</w:t>
      </w:r>
      <w:bookmarkEnd w:id="118"/>
      <w:bookmarkEnd w:id="119"/>
    </w:p>
    <w:p w14:paraId="41AEAADC">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cs="Times New Roman"/>
          <w:color w:val="auto"/>
          <w:lang w:val="en-US" w:eastAsia="zh-CN"/>
        </w:rPr>
        <w:t>积极融入环高校创新圈建设，</w:t>
      </w:r>
      <w:r>
        <w:rPr>
          <w:rFonts w:hint="default" w:ascii="Times New Roman" w:hAnsi="Times New Roman" w:cs="Times New Roman"/>
          <w:color w:val="auto"/>
        </w:rPr>
        <w:t>支持高等院校、科研院所、</w:t>
      </w:r>
      <w:r>
        <w:rPr>
          <w:rFonts w:hint="default" w:ascii="Times New Roman" w:hAnsi="Times New Roman" w:cs="Times New Roman"/>
          <w:color w:val="auto"/>
          <w:lang w:val="en-US" w:eastAsia="zh-CN"/>
        </w:rPr>
        <w:t>领军</w:t>
      </w:r>
      <w:r>
        <w:rPr>
          <w:rFonts w:hint="default" w:ascii="Times New Roman" w:hAnsi="Times New Roman" w:cs="Times New Roman"/>
          <w:color w:val="auto"/>
        </w:rPr>
        <w:t>企业参与建设众创空间、</w:t>
      </w:r>
      <w:r>
        <w:rPr>
          <w:rFonts w:hint="default" w:ascii="Times New Roman" w:hAnsi="Times New Roman" w:cs="Times New Roman"/>
          <w:color w:val="auto"/>
          <w:lang w:val="en-US" w:eastAsia="zh-CN"/>
        </w:rPr>
        <w:t>科技企业孵化器</w:t>
      </w:r>
      <w:r>
        <w:rPr>
          <w:rFonts w:hint="default" w:ascii="Times New Roman" w:hAnsi="Times New Roman" w:cs="Times New Roman"/>
          <w:color w:val="auto"/>
        </w:rPr>
        <w:t>等孵化载体</w:t>
      </w:r>
      <w:r>
        <w:rPr>
          <w:rFonts w:hint="default" w:ascii="Times New Roman" w:hAnsi="Times New Roman" w:cs="Times New Roman"/>
          <w:color w:val="auto"/>
          <w:lang w:eastAsia="zh-CN"/>
        </w:rPr>
        <w:t>。</w:t>
      </w:r>
      <w:r>
        <w:rPr>
          <w:rFonts w:hint="default" w:ascii="Times New Roman" w:hAnsi="Times New Roman" w:cs="Times New Roman"/>
          <w:color w:val="auto"/>
          <w:szCs w:val="32"/>
        </w:rPr>
        <w:t>积极争创省级众创空间、省级科技企业孵化器</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rPr>
        <w:t>推行</w:t>
      </w:r>
      <w:r>
        <w:rPr>
          <w:rFonts w:hint="eastAsia" w:cs="Times New Roman"/>
          <w:color w:val="auto"/>
          <w:szCs w:val="32"/>
          <w:lang w:eastAsia="zh-CN"/>
        </w:rPr>
        <w:t>“</w:t>
      </w:r>
      <w:r>
        <w:rPr>
          <w:rFonts w:hint="default" w:ascii="Times New Roman" w:hAnsi="Times New Roman" w:cs="Times New Roman"/>
          <w:color w:val="auto"/>
          <w:szCs w:val="32"/>
        </w:rPr>
        <w:t>孵化+创投</w:t>
      </w:r>
      <w:r>
        <w:rPr>
          <w:rFonts w:hint="eastAsia" w:cs="Times New Roman"/>
          <w:color w:val="auto"/>
          <w:szCs w:val="32"/>
          <w:lang w:eastAsia="zh-CN"/>
        </w:rPr>
        <w:t>”</w:t>
      </w:r>
      <w:r>
        <w:rPr>
          <w:rFonts w:hint="default" w:ascii="Times New Roman" w:hAnsi="Times New Roman" w:cs="Times New Roman"/>
          <w:color w:val="auto"/>
          <w:szCs w:val="32"/>
        </w:rPr>
        <w:t>模式，吸引高层次领军人才和团队来汉台创新创业，构筑</w:t>
      </w:r>
      <w:r>
        <w:rPr>
          <w:rFonts w:hint="eastAsia" w:cs="Times New Roman"/>
          <w:color w:val="auto"/>
          <w:szCs w:val="32"/>
          <w:lang w:eastAsia="zh-CN"/>
        </w:rPr>
        <w:t>“</w:t>
      </w:r>
      <w:r>
        <w:rPr>
          <w:rFonts w:hint="default" w:ascii="Times New Roman" w:hAnsi="Times New Roman" w:cs="Times New Roman"/>
          <w:color w:val="auto"/>
          <w:szCs w:val="32"/>
        </w:rPr>
        <w:t>苗圃—孵化器—加速器—产业园</w:t>
      </w:r>
      <w:r>
        <w:rPr>
          <w:rFonts w:hint="eastAsia" w:cs="Times New Roman"/>
          <w:color w:val="auto"/>
          <w:szCs w:val="32"/>
          <w:lang w:eastAsia="zh-CN"/>
        </w:rPr>
        <w:t>”</w:t>
      </w:r>
      <w:r>
        <w:rPr>
          <w:rFonts w:hint="default" w:ascii="Times New Roman" w:hAnsi="Times New Roman" w:cs="Times New Roman"/>
          <w:color w:val="auto"/>
          <w:szCs w:val="32"/>
        </w:rPr>
        <w:t>的完整创业孵化链。</w:t>
      </w:r>
    </w:p>
    <w:tbl>
      <w:tblPr>
        <w:tblStyle w:val="15"/>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8"/>
      </w:tblGrid>
      <w:tr w14:paraId="38A4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828" w:type="dxa"/>
            <w:noWrap w:val="0"/>
            <w:vAlign w:val="top"/>
          </w:tcPr>
          <w:p w14:paraId="1855D6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专栏3-1  科技创新平台建设工程</w:t>
            </w:r>
          </w:p>
        </w:tc>
      </w:tr>
      <w:tr w14:paraId="364A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noWrap w:val="0"/>
            <w:vAlign w:val="top"/>
          </w:tcPr>
          <w:p w14:paraId="429E8CCC">
            <w:pPr>
              <w:keepNext w:val="0"/>
              <w:keepLines w:val="0"/>
              <w:pageBreakBefore w:val="0"/>
              <w:widowControl w:val="0"/>
              <w:kinsoku/>
              <w:wordWrap/>
              <w:overflowPunct/>
              <w:topLinePunct w:val="0"/>
              <w:autoSpaceDE/>
              <w:autoSpaceDN/>
              <w:bidi w:val="0"/>
              <w:adjustRightInd w:val="0"/>
              <w:snapToGrid w:val="0"/>
              <w:spacing w:line="380" w:lineRule="exact"/>
              <w:textAlignment w:val="center"/>
              <w:rPr>
                <w:rFonts w:hint="default" w:ascii="Times New Roman" w:hAnsi="Times New Roman" w:eastAsia="宋体" w:cs="Times New Roman"/>
                <w:b/>
                <w:bCs/>
                <w:color w:val="auto"/>
                <w:spacing w:val="0"/>
                <w:kern w:val="2"/>
                <w:sz w:val="24"/>
                <w:szCs w:val="24"/>
                <w:vertAlign w:val="baseline"/>
                <w:lang w:val="en-US" w:eastAsia="zh-CN" w:bidi="ar-SA"/>
              </w:rPr>
            </w:pP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西安</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汉台</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科创飞地与产业加速器</w:t>
            </w:r>
            <w:r>
              <w:rPr>
                <w:rFonts w:hint="default" w:ascii="Times New Roman" w:hAnsi="Times New Roman" w:cs="Times New Roman"/>
                <w:b w:val="0"/>
                <w:bCs w:val="0"/>
                <w:color w:val="auto"/>
                <w:spacing w:val="0"/>
                <w:kern w:val="2"/>
                <w:sz w:val="24"/>
                <w:szCs w:val="24"/>
                <w:vertAlign w:val="baseline"/>
                <w:lang w:val="en-US" w:eastAsia="zh-CN" w:bidi="ar-SA"/>
              </w:rPr>
              <w:t>、汉台区中小微企业孵化园、秦创原航空装备制造产业创新聚集区</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四链</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融合、陕南高端装备首套（件）试制研究院、功能性塑化材料创新中心、生物医药产业中试基地、概念验证中心等项目</w:t>
            </w:r>
            <w:r>
              <w:rPr>
                <w:rFonts w:hint="default" w:ascii="Times New Roman" w:hAnsi="Times New Roman" w:eastAsia="仿宋_GB2312" w:cs="Times New Roman"/>
                <w:b w:val="0"/>
                <w:bCs w:val="0"/>
                <w:color w:val="auto"/>
                <w:spacing w:val="0"/>
                <w:kern w:val="2"/>
                <w:sz w:val="24"/>
                <w:szCs w:val="24"/>
                <w:vertAlign w:val="baseline"/>
                <w:lang w:val="en-US" w:eastAsia="zh-CN" w:bidi="ar-SA"/>
              </w:rPr>
              <w:t>。</w:t>
            </w:r>
          </w:p>
        </w:tc>
      </w:tr>
    </w:tbl>
    <w:p w14:paraId="0F4E43ED">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CESI黑体-GB2312" w:hAnsi="CESI黑体-GB2312" w:eastAsia="CESI黑体-GB2312" w:cs="CESI黑体-GB2312"/>
          <w:lang w:val="en-US" w:eastAsia="zh-CN"/>
        </w:rPr>
      </w:pPr>
      <w:bookmarkStart w:id="120" w:name="_Toc27009"/>
      <w:bookmarkStart w:id="121" w:name="_Toc28361"/>
      <w:bookmarkStart w:id="122" w:name="_Toc21678"/>
      <w:r>
        <w:rPr>
          <w:rFonts w:hint="default" w:ascii="CESI黑体-GB2312" w:hAnsi="CESI黑体-GB2312" w:eastAsia="CESI黑体-GB2312" w:cs="CESI黑体-GB2312"/>
          <w:lang w:val="en-US" w:eastAsia="zh-CN"/>
        </w:rPr>
        <w:t>第二节  培育壮大科技创新主体</w:t>
      </w:r>
      <w:bookmarkEnd w:id="120"/>
      <w:bookmarkEnd w:id="121"/>
      <w:bookmarkEnd w:id="122"/>
    </w:p>
    <w:p w14:paraId="1139BF9C">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rtl w:val="0"/>
          <w:lang w:val="en-US" w:eastAsia="zh-CN"/>
        </w:rPr>
      </w:pPr>
      <w:bookmarkStart w:id="123" w:name="_Toc2935"/>
      <w:bookmarkStart w:id="124" w:name="_Toc7095"/>
      <w:r>
        <w:rPr>
          <w:rFonts w:hint="default" w:ascii="Times New Roman" w:hAnsi="Times New Roman" w:eastAsia="黑体" w:cs="Times New Roman"/>
          <w:b w:val="0"/>
          <w:bCs/>
          <w:color w:val="auto"/>
          <w:sz w:val="32"/>
          <w:szCs w:val="32"/>
          <w:rtl w:val="0"/>
          <w:lang w:val="en-US" w:eastAsia="zh-CN"/>
        </w:rPr>
        <w:t>一、实施创新主体倍增计划</w:t>
      </w:r>
      <w:bookmarkEnd w:id="123"/>
      <w:bookmarkEnd w:id="124"/>
    </w:p>
    <w:p w14:paraId="5434F2CD">
      <w:pPr>
        <w:pStyle w:val="13"/>
        <w:keepNext w:val="0"/>
        <w:keepLines w:val="0"/>
        <w:pageBreakBefore w:val="0"/>
        <w:widowControl w:val="0"/>
        <w:kinsoku/>
        <w:wordWrap/>
        <w:overflowPunct/>
        <w:topLinePunct w:val="0"/>
        <w:autoSpaceDE/>
        <w:autoSpaceDN/>
        <w:bidi w:val="0"/>
        <w:adjustRightInd/>
        <w:snapToGrid/>
        <w:spacing w:line="240" w:lineRule="auto"/>
        <w:ind w:left="0" w:leftChars="0" w:firstLine="632" w:firstLineChars="200"/>
        <w:textAlignment w:val="center"/>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实施</w:t>
      </w:r>
      <w:r>
        <w:rPr>
          <w:rFonts w:hint="eastAsia"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登高、升规、晋位、上市</w:t>
      </w:r>
      <w:r>
        <w:rPr>
          <w:rFonts w:hint="eastAsia"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工程，以</w:t>
      </w:r>
      <w:r>
        <w:rPr>
          <w:rFonts w:hint="eastAsia"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初创企业－科技型中小企业－高新技术企业－专精特新企业－瞪羚企业</w:t>
      </w:r>
      <w:r>
        <w:rPr>
          <w:rFonts w:hint="eastAsia"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为路径，健全全生命周期梯度培育机制和全程孵化体系。培育一批创新能力强、市场前景好的初创型科技企业，支持有条件企业申报高新技术企业，激励科研人员直接领办创新型企业。建立</w:t>
      </w:r>
      <w:r>
        <w:rPr>
          <w:rFonts w:hint="eastAsia"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瞪羚（潜在）企业</w:t>
      </w:r>
      <w:r>
        <w:rPr>
          <w:rFonts w:hint="eastAsia"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科技领军（潜在）企业</w:t>
      </w:r>
      <w:r>
        <w:rPr>
          <w:rFonts w:hint="eastAsia"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培育和包抓机制，孵化一批专精特新</w:t>
      </w:r>
      <w:r>
        <w:rPr>
          <w:rFonts w:hint="eastAsia"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小巨人</w:t>
      </w:r>
      <w:r>
        <w:rPr>
          <w:rFonts w:hint="eastAsia"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企业和瞪羚企业。到2030年，高新技术企业达到135家、科技型中小企业达到180家、</w:t>
      </w:r>
      <w:r>
        <w:rPr>
          <w:rFonts w:hint="eastAsia"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专精特新</w:t>
      </w:r>
      <w:r>
        <w:rPr>
          <w:rFonts w:hint="eastAsia"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企业达到6家、瞪羚（潜在）企业达到10家。</w:t>
      </w:r>
    </w:p>
    <w:p w14:paraId="54FF5A56">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rtl w:val="0"/>
          <w:lang w:val="en-US" w:eastAsia="zh-CN"/>
        </w:rPr>
      </w:pPr>
      <w:bookmarkStart w:id="125" w:name="_Toc6480"/>
      <w:bookmarkStart w:id="126" w:name="_Toc32049"/>
      <w:r>
        <w:rPr>
          <w:rFonts w:hint="default" w:ascii="Times New Roman" w:hAnsi="Times New Roman" w:eastAsia="黑体" w:cs="Times New Roman"/>
          <w:b w:val="0"/>
          <w:bCs/>
          <w:color w:val="auto"/>
          <w:sz w:val="32"/>
          <w:szCs w:val="32"/>
          <w:rtl w:val="0"/>
          <w:lang w:val="en-US" w:eastAsia="zh-CN"/>
        </w:rPr>
        <w:t>二、提升企业创新主体地位</w:t>
      </w:r>
      <w:bookmarkEnd w:id="125"/>
      <w:bookmarkEnd w:id="126"/>
    </w:p>
    <w:p w14:paraId="1B6BEF6D">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lang w:val="en-US" w:eastAsia="zh-CN"/>
        </w:rPr>
      </w:pPr>
      <w:r>
        <w:rPr>
          <w:rFonts w:hint="default" w:ascii="Times New Roman" w:hAnsi="Times New Roman" w:cs="Times New Roman"/>
          <w:color w:val="auto"/>
          <w:szCs w:val="32"/>
          <w:lang w:val="en-US" w:eastAsia="zh-CN"/>
        </w:rPr>
        <w:t>鼓励企业参与省市</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揭榜挂帅</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、科技攻关等活动，</w:t>
      </w:r>
      <w:r>
        <w:rPr>
          <w:rFonts w:hint="default" w:ascii="Times New Roman" w:hAnsi="Times New Roman" w:cs="Times New Roman"/>
          <w:color w:val="auto"/>
        </w:rPr>
        <w:t>鼓励科研团队以</w:t>
      </w:r>
      <w:r>
        <w:rPr>
          <w:rFonts w:hint="eastAsia" w:cs="Times New Roman"/>
          <w:color w:val="auto"/>
          <w:lang w:eastAsia="zh-CN"/>
        </w:rPr>
        <w:t>“</w:t>
      </w:r>
      <w:r>
        <w:rPr>
          <w:rFonts w:hint="default" w:ascii="Times New Roman" w:hAnsi="Times New Roman" w:cs="Times New Roman"/>
          <w:color w:val="auto"/>
        </w:rPr>
        <w:t>订单式</w:t>
      </w:r>
      <w:r>
        <w:rPr>
          <w:rFonts w:hint="eastAsia" w:cs="Times New Roman"/>
          <w:color w:val="auto"/>
          <w:lang w:eastAsia="zh-CN"/>
        </w:rPr>
        <w:t>”</w:t>
      </w:r>
      <w:r>
        <w:rPr>
          <w:rFonts w:hint="default" w:ascii="Times New Roman" w:hAnsi="Times New Roman" w:cs="Times New Roman"/>
          <w:color w:val="auto"/>
        </w:rPr>
        <w:t>参与技术攻关，</w:t>
      </w:r>
      <w:r>
        <w:rPr>
          <w:rFonts w:hint="default" w:ascii="Times New Roman" w:hAnsi="Times New Roman" w:cs="Times New Roman"/>
          <w:color w:val="auto"/>
          <w:lang w:val="en-US" w:eastAsia="zh-CN"/>
        </w:rPr>
        <w:t>支持龙头企业联合高校院所和产业链上下游企业，组建创新联合体，开展核心技术攻关和前沿技术研究，</w:t>
      </w:r>
      <w:r>
        <w:rPr>
          <w:rFonts w:hint="default" w:ascii="Times New Roman" w:hAnsi="Times New Roman" w:cs="Times New Roman"/>
          <w:color w:val="auto"/>
          <w:szCs w:val="32"/>
          <w:lang w:val="en-US" w:eastAsia="zh-CN"/>
        </w:rPr>
        <w:t>带动产业链上中下游融通创新。</w:t>
      </w:r>
      <w:r>
        <w:rPr>
          <w:rFonts w:hint="default" w:ascii="Times New Roman" w:hAnsi="Times New Roman" w:cs="Times New Roman"/>
          <w:color w:val="auto"/>
          <w:kern w:val="0"/>
          <w:szCs w:val="32"/>
        </w:rPr>
        <w:t>支持大中企业联合承担重大科研项目，扶持小微企业灵活开展</w:t>
      </w:r>
      <w:r>
        <w:rPr>
          <w:rFonts w:hint="eastAsia" w:cs="Times New Roman"/>
          <w:color w:val="auto"/>
          <w:kern w:val="0"/>
          <w:szCs w:val="32"/>
          <w:lang w:eastAsia="zh-CN"/>
        </w:rPr>
        <w:t>“</w:t>
      </w:r>
      <w:r>
        <w:rPr>
          <w:rFonts w:hint="default" w:ascii="Times New Roman" w:hAnsi="Times New Roman" w:cs="Times New Roman"/>
          <w:color w:val="auto"/>
          <w:kern w:val="0"/>
          <w:szCs w:val="32"/>
        </w:rPr>
        <w:t>微创新</w:t>
      </w:r>
      <w:r>
        <w:rPr>
          <w:rFonts w:hint="eastAsia" w:cs="Times New Roman"/>
          <w:color w:val="auto"/>
          <w:kern w:val="0"/>
          <w:szCs w:val="32"/>
          <w:lang w:eastAsia="zh-CN"/>
        </w:rPr>
        <w:t>”</w:t>
      </w:r>
      <w:r>
        <w:rPr>
          <w:rFonts w:hint="default" w:ascii="Times New Roman" w:hAnsi="Times New Roman" w:cs="Times New Roman"/>
          <w:color w:val="auto"/>
          <w:kern w:val="0"/>
          <w:szCs w:val="32"/>
        </w:rPr>
        <w:t>，</w:t>
      </w:r>
      <w:r>
        <w:rPr>
          <w:rFonts w:hint="default" w:ascii="Times New Roman" w:hAnsi="Times New Roman" w:cs="Times New Roman"/>
          <w:color w:val="auto"/>
          <w:szCs w:val="32"/>
          <w:lang w:val="en-US" w:eastAsia="zh-CN"/>
        </w:rPr>
        <w:t>提升产业链供应链韧性和安全水平。</w:t>
      </w:r>
    </w:p>
    <w:p w14:paraId="0699FA20">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rtl w:val="0"/>
          <w:lang w:val="en-US" w:eastAsia="zh-CN"/>
        </w:rPr>
      </w:pPr>
      <w:bookmarkStart w:id="127" w:name="_Toc7835"/>
      <w:bookmarkStart w:id="128" w:name="_Toc25641"/>
      <w:r>
        <w:rPr>
          <w:rFonts w:hint="default" w:ascii="Times New Roman" w:hAnsi="Times New Roman" w:eastAsia="黑体" w:cs="Times New Roman"/>
          <w:b w:val="0"/>
          <w:bCs/>
          <w:color w:val="auto"/>
          <w:sz w:val="32"/>
          <w:szCs w:val="32"/>
          <w:rtl w:val="0"/>
          <w:lang w:val="en-US" w:eastAsia="zh-CN"/>
        </w:rPr>
        <w:t>三、强化企业创新政策支持</w:t>
      </w:r>
      <w:bookmarkEnd w:id="127"/>
      <w:bookmarkEnd w:id="128"/>
    </w:p>
    <w:p w14:paraId="2DD4A4C9">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rPr>
      </w:pPr>
      <w:r>
        <w:rPr>
          <w:rFonts w:hint="default" w:ascii="Times New Roman" w:hAnsi="Times New Roman" w:cs="Times New Roman"/>
          <w:color w:val="auto"/>
        </w:rPr>
        <w:t>规范落实研发费用加计扣除、固定资产加速折旧</w:t>
      </w:r>
      <w:r>
        <w:rPr>
          <w:rFonts w:hint="default" w:ascii="Times New Roman" w:hAnsi="Times New Roman" w:cs="Times New Roman"/>
          <w:color w:val="auto"/>
          <w:lang w:eastAsia="zh-CN"/>
        </w:rPr>
        <w:t>、</w:t>
      </w:r>
      <w:r>
        <w:rPr>
          <w:rFonts w:hint="default" w:ascii="Times New Roman" w:hAnsi="Times New Roman" w:cs="Times New Roman"/>
          <w:color w:val="auto"/>
        </w:rPr>
        <w:t>制造业企业研发投入增量奖补</w:t>
      </w:r>
      <w:r>
        <w:rPr>
          <w:rFonts w:hint="default" w:ascii="Times New Roman" w:hAnsi="Times New Roman" w:cs="Times New Roman"/>
          <w:color w:val="auto"/>
          <w:lang w:val="en-US" w:eastAsia="zh-CN"/>
        </w:rPr>
        <w:t>等政策，降低企业创新创业成本。实施首台</w:t>
      </w:r>
      <w:r>
        <w:rPr>
          <w:rFonts w:hint="default" w:ascii="Times New Roman" w:hAnsi="Times New Roman" w:cs="Times New Roman"/>
          <w:color w:val="auto"/>
          <w:lang w:eastAsia="zh-CN"/>
        </w:rPr>
        <w:t>（</w:t>
      </w:r>
      <w:r>
        <w:rPr>
          <w:rFonts w:hint="default" w:ascii="Times New Roman" w:hAnsi="Times New Roman" w:cs="Times New Roman"/>
          <w:color w:val="auto"/>
        </w:rPr>
        <w:t>套</w:t>
      </w:r>
      <w:r>
        <w:rPr>
          <w:rFonts w:hint="default" w:ascii="Times New Roman" w:hAnsi="Times New Roman" w:cs="Times New Roman"/>
          <w:color w:val="auto"/>
          <w:lang w:eastAsia="zh-CN"/>
        </w:rPr>
        <w:t>）</w:t>
      </w:r>
      <w:r>
        <w:rPr>
          <w:rFonts w:hint="default" w:ascii="Times New Roman" w:hAnsi="Times New Roman" w:cs="Times New Roman"/>
          <w:color w:val="auto"/>
        </w:rPr>
        <w:t>装备、首批次材料、首版次软件应用奖补</w:t>
      </w:r>
      <w:r>
        <w:rPr>
          <w:rFonts w:hint="default" w:ascii="Times New Roman" w:hAnsi="Times New Roman" w:cs="Times New Roman"/>
          <w:color w:val="auto"/>
          <w:lang w:val="en-US" w:eastAsia="zh-CN"/>
        </w:rPr>
        <w:t>制度</w:t>
      </w:r>
      <w:r>
        <w:rPr>
          <w:rFonts w:hint="default" w:ascii="Times New Roman" w:hAnsi="Times New Roman" w:cs="Times New Roman"/>
          <w:color w:val="auto"/>
          <w:lang w:eastAsia="zh-CN"/>
        </w:rPr>
        <w:t>。</w:t>
      </w:r>
      <w:r>
        <w:rPr>
          <w:rFonts w:hint="default" w:ascii="Times New Roman" w:hAnsi="Times New Roman" w:cs="Times New Roman"/>
          <w:color w:val="auto"/>
        </w:rPr>
        <w:t>以大规模设备更新为抓手</w:t>
      </w:r>
      <w:r>
        <w:rPr>
          <w:rFonts w:hint="default" w:ascii="Times New Roman" w:hAnsi="Times New Roman" w:cs="Times New Roman"/>
          <w:color w:val="auto"/>
          <w:lang w:eastAsia="zh-CN"/>
        </w:rPr>
        <w:t>，</w:t>
      </w:r>
      <w:r>
        <w:rPr>
          <w:rFonts w:hint="default" w:ascii="Times New Roman" w:hAnsi="Times New Roman" w:cs="Times New Roman"/>
          <w:color w:val="auto"/>
        </w:rPr>
        <w:t>实施制造业技术改造升级工程。</w:t>
      </w:r>
      <w:r>
        <w:rPr>
          <w:rFonts w:hint="default" w:ascii="Times New Roman" w:hAnsi="Times New Roman" w:cs="Times New Roman"/>
          <w:color w:val="auto"/>
          <w:lang w:val="en-US" w:eastAsia="zh-CN"/>
        </w:rPr>
        <w:t>定期开展培训辅导和政银企对接活动，推动构建全方位、多层次、多渠道科技金融体系。</w:t>
      </w:r>
      <w:r>
        <w:rPr>
          <w:rFonts w:hint="default" w:ascii="Times New Roman" w:hAnsi="Times New Roman" w:cs="Times New Roman"/>
          <w:color w:val="auto"/>
        </w:rPr>
        <w:t>加大对重大创新技术、产品和服务的采购力度。</w:t>
      </w:r>
    </w:p>
    <w:tbl>
      <w:tblPr>
        <w:tblStyle w:val="15"/>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8"/>
      </w:tblGrid>
      <w:tr w14:paraId="6DAD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28" w:type="dxa"/>
            <w:noWrap w:val="0"/>
            <w:vAlign w:val="top"/>
          </w:tcPr>
          <w:p w14:paraId="6F8F57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专栏3-2  创新型经营主体培育工程</w:t>
            </w:r>
          </w:p>
        </w:tc>
      </w:tr>
      <w:tr w14:paraId="562B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noWrap w:val="0"/>
            <w:vAlign w:val="top"/>
          </w:tcPr>
          <w:p w14:paraId="19F36B70">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b/>
                <w:bCs/>
                <w:color w:val="auto"/>
                <w:spacing w:val="0"/>
                <w:kern w:val="2"/>
                <w:sz w:val="24"/>
                <w:szCs w:val="24"/>
                <w:vertAlign w:val="baseline"/>
                <w:lang w:val="en-US" w:eastAsia="zh-CN" w:bidi="ar-SA"/>
              </w:rPr>
            </w:pPr>
            <w:r>
              <w:rPr>
                <w:rFonts w:hint="default" w:ascii="Times New Roman" w:hAnsi="Times New Roman" w:eastAsia="仿宋_GB2312" w:cs="Times New Roman"/>
                <w:b w:val="0"/>
                <w:bCs w:val="0"/>
                <w:color w:val="auto"/>
                <w:spacing w:val="0"/>
                <w:kern w:val="2"/>
                <w:sz w:val="24"/>
                <w:szCs w:val="24"/>
                <w:vertAlign w:val="baseline"/>
                <w:lang w:val="en-US" w:eastAsia="zh-CN" w:bidi="ar-SA"/>
              </w:rPr>
              <w:t>鼓励企业融入秦创原资源统筹平台，实施</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登高、升规、晋位、上市</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工程，引进培育主营业务突出、竞争力强、成长性好、专注于细分市场的</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专精特新</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企业</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到</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十五五</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末，全区高新技术企业</w:t>
            </w:r>
            <w:r>
              <w:rPr>
                <w:rFonts w:hint="default" w:ascii="Times New Roman" w:hAnsi="Times New Roman" w:cs="Times New Roman"/>
                <w:b w:val="0"/>
                <w:bCs w:val="0"/>
                <w:color w:val="auto"/>
                <w:spacing w:val="0"/>
                <w:kern w:val="2"/>
                <w:sz w:val="24"/>
                <w:szCs w:val="24"/>
                <w:vertAlign w:val="baseline"/>
                <w:lang w:val="en-US" w:eastAsia="zh-CN" w:bidi="ar-SA"/>
              </w:rPr>
              <w:t>达到135家，</w:t>
            </w:r>
            <w:r>
              <w:rPr>
                <w:rFonts w:hint="default" w:ascii="Times New Roman" w:hAnsi="Times New Roman" w:eastAsia="仿宋_GB2312" w:cs="Times New Roman"/>
                <w:b w:val="0"/>
                <w:bCs w:val="0"/>
                <w:color w:val="auto"/>
                <w:spacing w:val="0"/>
                <w:kern w:val="2"/>
                <w:sz w:val="24"/>
                <w:szCs w:val="24"/>
                <w:vertAlign w:val="baseline"/>
                <w:lang w:val="en-US" w:eastAsia="zh-CN" w:bidi="ar-SA"/>
              </w:rPr>
              <w:t>科技型中小企业</w:t>
            </w:r>
            <w:r>
              <w:rPr>
                <w:rFonts w:hint="default" w:ascii="Times New Roman" w:hAnsi="Times New Roman" w:cs="Times New Roman"/>
                <w:b w:val="0"/>
                <w:bCs w:val="0"/>
                <w:color w:val="auto"/>
                <w:spacing w:val="0"/>
                <w:kern w:val="2"/>
                <w:sz w:val="24"/>
                <w:szCs w:val="24"/>
                <w:vertAlign w:val="baseline"/>
                <w:lang w:val="en-US" w:eastAsia="zh-CN" w:bidi="ar-SA"/>
              </w:rPr>
              <w:t>达到180</w:t>
            </w:r>
            <w:r>
              <w:rPr>
                <w:rFonts w:hint="default" w:ascii="Times New Roman" w:hAnsi="Times New Roman" w:eastAsia="仿宋_GB2312" w:cs="Times New Roman"/>
                <w:b w:val="0"/>
                <w:bCs w:val="0"/>
                <w:color w:val="auto"/>
                <w:spacing w:val="0"/>
                <w:kern w:val="2"/>
                <w:sz w:val="24"/>
                <w:szCs w:val="24"/>
                <w:vertAlign w:val="baseline"/>
                <w:lang w:val="en-US" w:eastAsia="zh-CN" w:bidi="ar-SA"/>
              </w:rPr>
              <w:t>家。</w:t>
            </w:r>
          </w:p>
        </w:tc>
      </w:tr>
    </w:tbl>
    <w:p w14:paraId="04C07982">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CESI黑体-GB2312" w:hAnsi="CESI黑体-GB2312" w:eastAsia="CESI黑体-GB2312" w:cs="CESI黑体-GB2312"/>
          <w:lang w:val="en-US" w:eastAsia="zh-CN"/>
        </w:rPr>
      </w:pPr>
      <w:bookmarkStart w:id="129" w:name="_Toc126"/>
      <w:bookmarkStart w:id="130" w:name="_Toc25269"/>
      <w:bookmarkStart w:id="131" w:name="_Toc29153"/>
      <w:r>
        <w:rPr>
          <w:rFonts w:hint="eastAsia" w:ascii="CESI黑体-GB2312" w:hAnsi="CESI黑体-GB2312" w:eastAsia="CESI黑体-GB2312" w:cs="CESI黑体-GB2312"/>
          <w:lang w:val="en-US" w:eastAsia="zh-CN"/>
        </w:rPr>
        <w:t>第三节  健全完善科技创新体系</w:t>
      </w:r>
      <w:bookmarkEnd w:id="129"/>
      <w:bookmarkEnd w:id="130"/>
      <w:bookmarkEnd w:id="131"/>
    </w:p>
    <w:p w14:paraId="1A462F9B">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rtl w:val="0"/>
          <w:lang w:val="en-US" w:eastAsia="zh-CN"/>
        </w:rPr>
      </w:pPr>
      <w:bookmarkStart w:id="132" w:name="_Toc7540"/>
      <w:bookmarkStart w:id="133" w:name="_Toc16266"/>
      <w:r>
        <w:rPr>
          <w:rFonts w:hint="default" w:ascii="Times New Roman" w:hAnsi="Times New Roman" w:eastAsia="黑体" w:cs="Times New Roman"/>
          <w:b w:val="0"/>
          <w:bCs/>
          <w:color w:val="auto"/>
          <w:sz w:val="32"/>
          <w:szCs w:val="32"/>
          <w:rtl w:val="0"/>
          <w:lang w:val="en-US" w:eastAsia="zh-CN"/>
        </w:rPr>
        <w:t>一、完善区域协同创新机制</w:t>
      </w:r>
      <w:bookmarkEnd w:id="132"/>
      <w:bookmarkEnd w:id="133"/>
    </w:p>
    <w:p w14:paraId="5A226E5B">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cs="Times New Roman"/>
          <w:color w:val="auto"/>
          <w:lang w:val="en-US" w:eastAsia="zh-CN"/>
        </w:rPr>
        <w:t>健全直接对接秦创原总窗口制度，</w:t>
      </w:r>
      <w:r>
        <w:rPr>
          <w:rFonts w:hint="default" w:ascii="Times New Roman" w:hAnsi="Times New Roman" w:cs="Times New Roman"/>
          <w:color w:val="auto"/>
          <w:szCs w:val="32"/>
        </w:rPr>
        <w:t>主动对接</w:t>
      </w:r>
      <w:r>
        <w:rPr>
          <w:rFonts w:hint="default" w:ascii="Times New Roman" w:hAnsi="Times New Roman" w:cs="Times New Roman"/>
          <w:color w:val="auto"/>
          <w:szCs w:val="32"/>
          <w:lang w:val="en-US" w:eastAsia="zh-CN"/>
        </w:rPr>
        <w:t>西安、重庆、成都等</w:t>
      </w:r>
      <w:r>
        <w:rPr>
          <w:rFonts w:hint="default" w:ascii="Times New Roman" w:hAnsi="Times New Roman" w:cs="Times New Roman"/>
          <w:color w:val="auto"/>
          <w:szCs w:val="32"/>
        </w:rPr>
        <w:t>创新资源，打造一批飞地平台和离岸孵化器。支持企业与高校、科研院所合作在发达地区设立</w:t>
      </w:r>
      <w:r>
        <w:rPr>
          <w:rFonts w:hint="eastAsia" w:cs="Times New Roman"/>
          <w:color w:val="auto"/>
          <w:szCs w:val="32"/>
          <w:lang w:eastAsia="zh-CN"/>
        </w:rPr>
        <w:t>“</w:t>
      </w:r>
      <w:r>
        <w:rPr>
          <w:rFonts w:hint="default" w:ascii="Times New Roman" w:hAnsi="Times New Roman" w:cs="Times New Roman"/>
          <w:color w:val="auto"/>
          <w:szCs w:val="32"/>
        </w:rPr>
        <w:t>飞地智库</w:t>
      </w:r>
      <w:r>
        <w:rPr>
          <w:rFonts w:hint="eastAsia" w:cs="Times New Roman"/>
          <w:color w:val="auto"/>
          <w:szCs w:val="32"/>
          <w:lang w:eastAsia="zh-CN"/>
        </w:rPr>
        <w:t>”“</w:t>
      </w:r>
      <w:r>
        <w:rPr>
          <w:rFonts w:hint="default" w:ascii="Times New Roman" w:hAnsi="Times New Roman" w:cs="Times New Roman"/>
          <w:color w:val="auto"/>
          <w:szCs w:val="32"/>
        </w:rPr>
        <w:t>飞地实验室</w:t>
      </w:r>
      <w:r>
        <w:rPr>
          <w:rFonts w:hint="eastAsia" w:cs="Times New Roman"/>
          <w:color w:val="auto"/>
          <w:szCs w:val="32"/>
          <w:lang w:eastAsia="zh-CN"/>
        </w:rPr>
        <w:t>”</w:t>
      </w:r>
      <w:r>
        <w:rPr>
          <w:rFonts w:hint="default" w:ascii="Times New Roman" w:hAnsi="Times New Roman" w:cs="Times New Roman"/>
          <w:color w:val="auto"/>
          <w:szCs w:val="32"/>
        </w:rPr>
        <w:t>，吸引外地企业在汉台设立</w:t>
      </w:r>
      <w:r>
        <w:rPr>
          <w:rFonts w:hint="eastAsia" w:cs="Times New Roman"/>
          <w:color w:val="auto"/>
          <w:szCs w:val="32"/>
          <w:lang w:eastAsia="zh-CN"/>
        </w:rPr>
        <w:t>“</w:t>
      </w:r>
      <w:r>
        <w:rPr>
          <w:rFonts w:hint="default" w:ascii="Times New Roman" w:hAnsi="Times New Roman" w:cs="Times New Roman"/>
          <w:color w:val="auto"/>
          <w:szCs w:val="32"/>
        </w:rPr>
        <w:t>飞地产业园</w:t>
      </w:r>
      <w:r>
        <w:rPr>
          <w:rFonts w:hint="eastAsia" w:cs="Times New Roman"/>
          <w:color w:val="auto"/>
          <w:szCs w:val="32"/>
          <w:lang w:eastAsia="zh-CN"/>
        </w:rPr>
        <w:t>”</w:t>
      </w:r>
      <w:r>
        <w:rPr>
          <w:rFonts w:hint="default" w:ascii="Times New Roman" w:hAnsi="Times New Roman" w:cs="Times New Roman"/>
          <w:color w:val="auto"/>
          <w:szCs w:val="32"/>
        </w:rPr>
        <w:t>，建设</w:t>
      </w:r>
      <w:r>
        <w:rPr>
          <w:rFonts w:hint="eastAsia" w:cs="Times New Roman"/>
          <w:color w:val="auto"/>
          <w:szCs w:val="32"/>
          <w:lang w:eastAsia="zh-CN"/>
        </w:rPr>
        <w:t>“</w:t>
      </w:r>
      <w:r>
        <w:rPr>
          <w:rFonts w:hint="default" w:ascii="Times New Roman" w:hAnsi="Times New Roman" w:cs="Times New Roman"/>
          <w:color w:val="auto"/>
          <w:szCs w:val="32"/>
        </w:rPr>
        <w:t>创新飞地</w:t>
      </w:r>
      <w:r>
        <w:rPr>
          <w:rFonts w:hint="eastAsia" w:cs="Times New Roman"/>
          <w:color w:val="auto"/>
          <w:szCs w:val="32"/>
          <w:lang w:eastAsia="zh-CN"/>
        </w:rPr>
        <w:t>”“</w:t>
      </w:r>
      <w:r>
        <w:rPr>
          <w:rFonts w:hint="default" w:ascii="Times New Roman" w:hAnsi="Times New Roman" w:cs="Times New Roman"/>
          <w:color w:val="auto"/>
          <w:szCs w:val="32"/>
        </w:rPr>
        <w:t>人才飞地</w:t>
      </w:r>
      <w:r>
        <w:rPr>
          <w:rFonts w:hint="eastAsia" w:cs="Times New Roman"/>
          <w:color w:val="auto"/>
          <w:szCs w:val="32"/>
          <w:lang w:eastAsia="zh-CN"/>
        </w:rPr>
        <w:t>”</w:t>
      </w:r>
      <w:r>
        <w:rPr>
          <w:rFonts w:hint="default" w:ascii="Times New Roman" w:hAnsi="Times New Roman" w:cs="Times New Roman"/>
          <w:color w:val="auto"/>
          <w:szCs w:val="32"/>
        </w:rPr>
        <w:t>。</w:t>
      </w:r>
      <w:r>
        <w:rPr>
          <w:rFonts w:hint="default" w:ascii="Times New Roman" w:hAnsi="Times New Roman" w:cs="Times New Roman"/>
          <w:color w:val="auto"/>
          <w:szCs w:val="32"/>
          <w:lang w:val="en-US" w:eastAsia="zh-CN"/>
        </w:rPr>
        <w:t>推进院校地企协同创新发展，强化与经开区协同创新发展，</w:t>
      </w:r>
      <w:r>
        <w:rPr>
          <w:rFonts w:hint="default" w:ascii="Times New Roman" w:hAnsi="Times New Roman" w:cs="Times New Roman"/>
          <w:color w:val="auto"/>
          <w:szCs w:val="32"/>
        </w:rPr>
        <w:t>探索孵化在高等院所、转化在汉台的创新模式。</w:t>
      </w:r>
      <w:r>
        <w:rPr>
          <w:rFonts w:hint="default" w:ascii="Times New Roman" w:hAnsi="Times New Roman" w:cs="Times New Roman"/>
          <w:color w:val="auto"/>
          <w:szCs w:val="32"/>
          <w:lang w:val="en-US" w:eastAsia="zh-CN"/>
        </w:rPr>
        <w:t>搭建科技企业政银企合作对接平台，促进创新链产业链资金链人才链深度融合，</w:t>
      </w:r>
      <w:r>
        <w:rPr>
          <w:rFonts w:hint="default" w:ascii="Times New Roman" w:hAnsi="Times New Roman" w:cs="Times New Roman"/>
          <w:color w:val="auto"/>
          <w:szCs w:val="32"/>
        </w:rPr>
        <w:t>健全</w:t>
      </w:r>
      <w:r>
        <w:rPr>
          <w:rFonts w:hint="eastAsia" w:cs="Times New Roman"/>
          <w:color w:val="auto"/>
          <w:szCs w:val="32"/>
          <w:lang w:eastAsia="zh-CN"/>
        </w:rPr>
        <w:t>“</w:t>
      </w:r>
      <w:r>
        <w:rPr>
          <w:rFonts w:hint="default" w:ascii="Times New Roman" w:hAnsi="Times New Roman" w:cs="Times New Roman"/>
          <w:color w:val="auto"/>
          <w:szCs w:val="32"/>
        </w:rPr>
        <w:t>政产学研用金</w:t>
      </w:r>
      <w:r>
        <w:rPr>
          <w:rFonts w:hint="eastAsia" w:cs="Times New Roman"/>
          <w:color w:val="auto"/>
          <w:szCs w:val="32"/>
          <w:lang w:eastAsia="zh-CN"/>
        </w:rPr>
        <w:t>”</w:t>
      </w:r>
      <w:r>
        <w:rPr>
          <w:rFonts w:hint="default" w:ascii="Times New Roman" w:hAnsi="Times New Roman" w:cs="Times New Roman"/>
          <w:color w:val="auto"/>
          <w:szCs w:val="32"/>
        </w:rPr>
        <w:t>六位一体协同创新体系</w:t>
      </w:r>
      <w:r>
        <w:rPr>
          <w:rFonts w:hint="default" w:ascii="Times New Roman" w:hAnsi="Times New Roman" w:cs="Times New Roman"/>
          <w:color w:val="auto"/>
          <w:szCs w:val="32"/>
          <w:lang w:eastAsia="zh-CN"/>
        </w:rPr>
        <w:t>。</w:t>
      </w:r>
    </w:p>
    <w:p w14:paraId="517F86A5">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rtl w:val="0"/>
          <w:lang w:val="en-US" w:eastAsia="zh-CN"/>
        </w:rPr>
      </w:pPr>
      <w:bookmarkStart w:id="134" w:name="_Toc32670"/>
      <w:bookmarkStart w:id="135" w:name="_Toc27987"/>
      <w:r>
        <w:rPr>
          <w:rFonts w:hint="default" w:ascii="Times New Roman" w:hAnsi="Times New Roman" w:eastAsia="黑体" w:cs="Times New Roman"/>
          <w:b w:val="0"/>
          <w:bCs/>
          <w:color w:val="auto"/>
          <w:sz w:val="32"/>
          <w:szCs w:val="32"/>
          <w:rtl w:val="0"/>
          <w:lang w:val="en-US" w:eastAsia="zh-CN"/>
        </w:rPr>
        <w:t>二、加强关键核心技术攻关</w:t>
      </w:r>
      <w:bookmarkEnd w:id="134"/>
      <w:bookmarkEnd w:id="135"/>
    </w:p>
    <w:p w14:paraId="25DC62ED">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kern w:val="0"/>
          <w:szCs w:val="32"/>
        </w:rPr>
      </w:pPr>
      <w:r>
        <w:rPr>
          <w:rFonts w:hint="default" w:ascii="Times New Roman" w:hAnsi="Times New Roman" w:cs="Times New Roman"/>
          <w:color w:val="auto"/>
          <w:lang w:val="en-US" w:eastAsia="zh-CN"/>
        </w:rPr>
        <w:t>紧盯重点产业延链补链强链，建立关键核心技术攻关需求清单和动态更新机制，推动产学研合作，指导企业推荐申报省市科技计划项目，通过</w:t>
      </w:r>
      <w:r>
        <w:rPr>
          <w:rFonts w:hint="eastAsia" w:cs="Times New Roman"/>
          <w:color w:val="auto"/>
          <w:lang w:val="en-US" w:eastAsia="zh-CN"/>
        </w:rPr>
        <w:t>“</w:t>
      </w:r>
      <w:r>
        <w:rPr>
          <w:rFonts w:hint="default" w:ascii="Times New Roman" w:hAnsi="Times New Roman" w:cs="Times New Roman"/>
          <w:color w:val="auto"/>
          <w:lang w:val="en-US" w:eastAsia="zh-CN"/>
        </w:rPr>
        <w:t>揭榜挂帅</w:t>
      </w:r>
      <w:r>
        <w:rPr>
          <w:rFonts w:hint="eastAsia" w:cs="Times New Roman"/>
          <w:color w:val="auto"/>
          <w:lang w:val="en-US" w:eastAsia="zh-CN"/>
        </w:rPr>
        <w:t>”</w:t>
      </w:r>
      <w:r>
        <w:rPr>
          <w:rFonts w:hint="default" w:ascii="Times New Roman" w:hAnsi="Times New Roman" w:cs="Times New Roman"/>
          <w:color w:val="auto"/>
          <w:lang w:val="en-US" w:eastAsia="zh-CN"/>
        </w:rPr>
        <w:t>等方式，集中力量突破一批</w:t>
      </w:r>
      <w:r>
        <w:rPr>
          <w:rFonts w:hint="eastAsia" w:cs="Times New Roman"/>
          <w:color w:val="auto"/>
          <w:lang w:val="en-US" w:eastAsia="zh-CN"/>
        </w:rPr>
        <w:t>“</w:t>
      </w:r>
      <w:r>
        <w:rPr>
          <w:rFonts w:hint="default" w:ascii="Times New Roman" w:hAnsi="Times New Roman" w:cs="Times New Roman"/>
          <w:color w:val="auto"/>
          <w:lang w:val="en-US" w:eastAsia="zh-CN"/>
        </w:rPr>
        <w:t>卡脖子</w:t>
      </w:r>
      <w:r>
        <w:rPr>
          <w:rFonts w:hint="eastAsia" w:cs="Times New Roman"/>
          <w:color w:val="auto"/>
          <w:lang w:val="en-US" w:eastAsia="zh-CN"/>
        </w:rPr>
        <w:t>”</w:t>
      </w:r>
      <w:r>
        <w:rPr>
          <w:rFonts w:hint="default" w:ascii="Times New Roman" w:hAnsi="Times New Roman" w:cs="Times New Roman"/>
          <w:color w:val="auto"/>
          <w:lang w:val="en-US" w:eastAsia="zh-CN"/>
        </w:rPr>
        <w:t>关键核心技术。鼓励科研院所与企业联合开展军民两用技术协同攻关。</w:t>
      </w:r>
      <w:r>
        <w:rPr>
          <w:rFonts w:hint="default" w:ascii="Times New Roman" w:hAnsi="Times New Roman" w:cs="Times New Roman"/>
          <w:color w:val="auto"/>
          <w:kern w:val="0"/>
          <w:szCs w:val="32"/>
        </w:rPr>
        <w:t>每年培育3</w:t>
      </w:r>
      <w:r>
        <w:rPr>
          <w:rFonts w:hint="default" w:ascii="Times New Roman" w:hAnsi="Times New Roman" w:cs="Times New Roman"/>
          <w:color w:val="auto"/>
          <w:kern w:val="0"/>
          <w:szCs w:val="32"/>
          <w:lang w:eastAsia="zh-CN"/>
        </w:rPr>
        <w:t>—</w:t>
      </w:r>
      <w:r>
        <w:rPr>
          <w:rFonts w:hint="default" w:ascii="Times New Roman" w:hAnsi="Times New Roman" w:cs="Times New Roman"/>
          <w:color w:val="auto"/>
          <w:kern w:val="0"/>
          <w:szCs w:val="32"/>
        </w:rPr>
        <w:t>5个省级重点产品开发项目，</w:t>
      </w:r>
      <w:r>
        <w:rPr>
          <w:rFonts w:hint="default" w:ascii="Times New Roman" w:hAnsi="Times New Roman" w:cs="Times New Roman"/>
          <w:color w:val="auto"/>
          <w:kern w:val="0"/>
          <w:szCs w:val="32"/>
          <w:lang w:val="en-US" w:eastAsia="zh-CN"/>
        </w:rPr>
        <w:t>实施重大科技创新专项项目10个，</w:t>
      </w:r>
      <w:r>
        <w:rPr>
          <w:rFonts w:hint="default" w:ascii="Times New Roman" w:hAnsi="Times New Roman" w:cs="Times New Roman"/>
          <w:color w:val="auto"/>
        </w:rPr>
        <w:t>形成一批具有自主知识产权的原创性、标志性成果。</w:t>
      </w:r>
    </w:p>
    <w:p w14:paraId="6B8169EE">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rtl w:val="0"/>
          <w:lang w:val="en-US" w:eastAsia="zh-CN"/>
        </w:rPr>
      </w:pPr>
      <w:bookmarkStart w:id="136" w:name="_Toc16688"/>
      <w:bookmarkStart w:id="137" w:name="_Toc6174"/>
      <w:r>
        <w:rPr>
          <w:rFonts w:hint="default" w:ascii="Times New Roman" w:hAnsi="Times New Roman" w:eastAsia="黑体" w:cs="Times New Roman"/>
          <w:b w:val="0"/>
          <w:bCs/>
          <w:color w:val="auto"/>
          <w:sz w:val="32"/>
          <w:szCs w:val="32"/>
          <w:rtl w:val="0"/>
          <w:lang w:val="en-US" w:eastAsia="zh-CN"/>
        </w:rPr>
        <w:t>三、推动科技成果转化应用</w:t>
      </w:r>
      <w:bookmarkEnd w:id="136"/>
      <w:bookmarkEnd w:id="137"/>
    </w:p>
    <w:p w14:paraId="3CD090D4">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outlineLvl w:val="9"/>
        <w:rPr>
          <w:rFonts w:hint="default" w:ascii="Times New Roman" w:hAnsi="Times New Roman" w:eastAsia="仿宋_GB2312" w:cs="Times New Roman"/>
          <w:i w:val="0"/>
          <w:iCs w:val="0"/>
          <w:caps w:val="0"/>
          <w:color w:val="auto"/>
          <w:spacing w:val="0"/>
          <w:sz w:val="32"/>
          <w:szCs w:val="32"/>
          <w:shd w:val="clear" w:color="auto" w:fill="FFFFFF"/>
          <w:lang w:val="en-US" w:eastAsia="zh-CN"/>
        </w:rPr>
      </w:pPr>
      <w:r>
        <w:rPr>
          <w:rFonts w:hint="default" w:ascii="Times New Roman" w:hAnsi="Times New Roman" w:eastAsia="仿宋_GB2312" w:cs="Times New Roman"/>
          <w:i w:val="0"/>
          <w:iCs w:val="0"/>
          <w:caps w:val="0"/>
          <w:color w:val="auto"/>
          <w:spacing w:val="0"/>
          <w:sz w:val="32"/>
          <w:szCs w:val="32"/>
          <w:shd w:val="clear" w:color="auto" w:fill="FFFFFF"/>
          <w:lang w:val="en-US" w:eastAsia="zh-CN"/>
        </w:rPr>
        <w:t>推广科技成果转化</w:t>
      </w:r>
      <w:r>
        <w:rPr>
          <w:rFonts w:hint="eastAsia" w:cs="Times New Roman"/>
          <w:i w:val="0"/>
          <w:iCs w:val="0"/>
          <w:caps w:val="0"/>
          <w:color w:val="auto"/>
          <w:spacing w:val="0"/>
          <w:sz w:val="32"/>
          <w:szCs w:val="32"/>
          <w:shd w:val="clear" w:color="auto" w:fill="FFFFFF"/>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lang w:val="en-US" w:eastAsia="zh-CN"/>
        </w:rPr>
        <w:t>三项改革</w:t>
      </w:r>
      <w:r>
        <w:rPr>
          <w:rFonts w:hint="eastAsia" w:cs="Times New Roman"/>
          <w:i w:val="0"/>
          <w:iCs w:val="0"/>
          <w:caps w:val="0"/>
          <w:color w:val="auto"/>
          <w:spacing w:val="0"/>
          <w:sz w:val="32"/>
          <w:szCs w:val="32"/>
          <w:shd w:val="clear" w:color="auto" w:fill="FFFFFF"/>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lang w:val="en-US" w:eastAsia="zh-CN"/>
        </w:rPr>
        <w:t>制度，完善以企业为主体的科技成果转化激励机制，加大科研人员科技成果转化收益分配。</w:t>
      </w:r>
      <w:r>
        <w:rPr>
          <w:rFonts w:hint="default" w:ascii="Times New Roman" w:hAnsi="Times New Roman" w:cs="Times New Roman"/>
          <w:color w:val="auto"/>
          <w:kern w:val="2"/>
          <w:sz w:val="32"/>
          <w:szCs w:val="32"/>
          <w:highlight w:val="none"/>
          <w:lang w:val="en-US" w:eastAsia="zh-CN"/>
        </w:rPr>
        <w:t>健全</w:t>
      </w:r>
      <w:r>
        <w:rPr>
          <w:rFonts w:hint="default" w:ascii="Times New Roman" w:hAnsi="Times New Roman" w:eastAsia="仿宋_GB2312" w:cs="Times New Roman"/>
          <w:color w:val="auto"/>
          <w:kern w:val="2"/>
          <w:sz w:val="32"/>
          <w:szCs w:val="32"/>
          <w:highlight w:val="none"/>
          <w:lang w:val="en-US" w:eastAsia="zh-CN"/>
        </w:rPr>
        <w:t>汉台科技需求和科研成果发现、收集、筛选、分析机制，</w:t>
      </w:r>
      <w:r>
        <w:rPr>
          <w:rFonts w:hint="default" w:ascii="Times New Roman" w:hAnsi="Times New Roman" w:cs="Times New Roman"/>
          <w:color w:val="auto"/>
          <w:kern w:val="2"/>
          <w:sz w:val="32"/>
          <w:szCs w:val="32"/>
          <w:highlight w:val="none"/>
          <w:lang w:val="en-US" w:eastAsia="zh-CN"/>
        </w:rPr>
        <w:t>建立企业技术需求清单</w:t>
      </w:r>
      <w:r>
        <w:rPr>
          <w:rFonts w:hint="default" w:ascii="Times New Roman" w:hAnsi="Times New Roman" w:eastAsia="仿宋_GB2312" w:cs="Times New Roman"/>
          <w:color w:val="auto"/>
          <w:kern w:val="2"/>
          <w:sz w:val="32"/>
          <w:szCs w:val="32"/>
          <w:highlight w:val="none"/>
          <w:lang w:val="en-US" w:eastAsia="zh-CN"/>
        </w:rPr>
        <w:t>和科技成果库</w:t>
      </w:r>
      <w:r>
        <w:rPr>
          <w:rFonts w:hint="default" w:ascii="Times New Roman" w:hAnsi="Times New Roman" w:cs="Times New Roman"/>
          <w:color w:val="auto"/>
          <w:kern w:val="2"/>
          <w:sz w:val="32"/>
          <w:szCs w:val="32"/>
          <w:highlight w:val="none"/>
          <w:lang w:val="en-US" w:eastAsia="zh-CN"/>
        </w:rPr>
        <w:t>，常态化开展路演、技术峰会、开发者大赛、校企对接等活动，</w:t>
      </w:r>
      <w:r>
        <w:rPr>
          <w:rFonts w:hint="default" w:ascii="Times New Roman" w:hAnsi="Times New Roman" w:eastAsia="仿宋_GB2312" w:cs="Times New Roman"/>
          <w:i w:val="0"/>
          <w:iCs w:val="0"/>
          <w:caps w:val="0"/>
          <w:color w:val="auto"/>
          <w:spacing w:val="0"/>
          <w:sz w:val="32"/>
          <w:szCs w:val="32"/>
          <w:shd w:val="clear" w:color="auto" w:fill="FFFFFF"/>
          <w:lang w:val="en-US" w:eastAsia="zh-CN"/>
        </w:rPr>
        <w:t>促进科技成果供需精准匹配。</w:t>
      </w:r>
      <w:r>
        <w:rPr>
          <w:rFonts w:hint="default" w:ascii="Times New Roman" w:hAnsi="Times New Roman" w:eastAsia="仿宋_GB2312" w:cs="Times New Roman"/>
          <w:color w:val="auto"/>
          <w:kern w:val="2"/>
          <w:sz w:val="32"/>
          <w:szCs w:val="32"/>
          <w:highlight w:val="none"/>
          <w:lang w:val="en-US" w:eastAsia="zh-CN"/>
        </w:rPr>
        <w:t>开展技术合同登记、科技成果评价、技术咨询、技术交易、成果转化等技术转移工作</w:t>
      </w:r>
      <w:r>
        <w:rPr>
          <w:rFonts w:hint="default" w:ascii="Times New Roman" w:hAnsi="Times New Roman" w:cs="Times New Roman"/>
          <w:color w:val="auto"/>
          <w:kern w:val="2"/>
          <w:sz w:val="32"/>
          <w:szCs w:val="32"/>
          <w:highlight w:val="none"/>
          <w:lang w:val="en-US" w:eastAsia="zh-CN"/>
        </w:rPr>
        <w:t>，</w:t>
      </w:r>
      <w:r>
        <w:rPr>
          <w:rFonts w:hint="default" w:ascii="Times New Roman" w:hAnsi="Times New Roman" w:cs="Times New Roman"/>
          <w:color w:val="auto"/>
          <w:szCs w:val="32"/>
        </w:rPr>
        <w:t>加强</w:t>
      </w:r>
      <w:r>
        <w:rPr>
          <w:rFonts w:hint="eastAsia" w:cs="Times New Roman"/>
          <w:color w:val="auto"/>
          <w:szCs w:val="32"/>
          <w:lang w:eastAsia="zh-CN"/>
        </w:rPr>
        <w:t>“</w:t>
      </w:r>
      <w:r>
        <w:rPr>
          <w:rFonts w:hint="default" w:ascii="Times New Roman" w:hAnsi="Times New Roman" w:cs="Times New Roman"/>
          <w:color w:val="auto"/>
          <w:szCs w:val="32"/>
        </w:rPr>
        <w:t>技术经理人</w:t>
      </w:r>
      <w:r>
        <w:rPr>
          <w:rFonts w:hint="eastAsia" w:cs="Times New Roman"/>
          <w:color w:val="auto"/>
          <w:szCs w:val="32"/>
          <w:lang w:eastAsia="zh-CN"/>
        </w:rPr>
        <w:t>”</w:t>
      </w:r>
      <w:r>
        <w:rPr>
          <w:rFonts w:hint="default" w:ascii="Times New Roman" w:hAnsi="Times New Roman" w:cs="Times New Roman"/>
          <w:color w:val="auto"/>
          <w:szCs w:val="32"/>
        </w:rPr>
        <w:t>队伍建设，促进科技成果转化</w:t>
      </w:r>
      <w:r>
        <w:rPr>
          <w:rFonts w:hint="default" w:ascii="Times New Roman" w:hAnsi="Times New Roman" w:cs="Times New Roman"/>
          <w:color w:val="auto"/>
          <w:szCs w:val="32"/>
          <w:lang w:eastAsia="zh-CN"/>
        </w:rPr>
        <w:t>。</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十五五</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期间，推动科技成果转化50项，完成技术合同成交额15亿元以上。</w:t>
      </w:r>
    </w:p>
    <w:p w14:paraId="1C514A6F">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rtl w:val="0"/>
          <w:lang w:val="en-US" w:eastAsia="zh-CN"/>
        </w:rPr>
      </w:pPr>
      <w:bookmarkStart w:id="138" w:name="_Toc20988"/>
      <w:bookmarkStart w:id="139" w:name="_Toc19133"/>
      <w:r>
        <w:rPr>
          <w:rFonts w:hint="default" w:ascii="Times New Roman" w:hAnsi="Times New Roman" w:eastAsia="黑体" w:cs="Times New Roman"/>
          <w:b w:val="0"/>
          <w:bCs/>
          <w:color w:val="auto"/>
          <w:sz w:val="32"/>
          <w:szCs w:val="32"/>
          <w:rtl w:val="0"/>
          <w:lang w:val="en-US" w:eastAsia="zh-CN"/>
        </w:rPr>
        <w:t>四、加大知识产权保护力度</w:t>
      </w:r>
      <w:bookmarkEnd w:id="138"/>
      <w:bookmarkEnd w:id="139"/>
    </w:p>
    <w:p w14:paraId="221B38D1">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lang w:val="en-US" w:eastAsia="zh-CN"/>
        </w:rPr>
      </w:pPr>
      <w:r>
        <w:rPr>
          <w:rFonts w:hint="default" w:ascii="Times New Roman" w:hAnsi="Times New Roman" w:cs="Times New Roman"/>
          <w:color w:val="auto"/>
          <w:szCs w:val="32"/>
          <w:lang w:val="en-US" w:eastAsia="zh-CN"/>
        </w:rPr>
        <w:t>开展知识产权服务进企业活动，</w:t>
      </w:r>
      <w:r>
        <w:rPr>
          <w:rFonts w:hint="default" w:ascii="Times New Roman" w:hAnsi="Times New Roman" w:cs="Times New Roman"/>
          <w:color w:val="auto"/>
        </w:rPr>
        <w:t>支持社会各界申报专利、注册商标、登记版权，提高自主知识产权拥有量，</w:t>
      </w:r>
      <w:r>
        <w:rPr>
          <w:rFonts w:hint="default" w:ascii="Times New Roman" w:hAnsi="Times New Roman" w:cs="Times New Roman"/>
          <w:color w:val="auto"/>
          <w:szCs w:val="32"/>
        </w:rPr>
        <w:t>强化专利资源的开发利用，打通知识产权创造、运用、保护、管理、服务全产业链。</w:t>
      </w:r>
      <w:r>
        <w:rPr>
          <w:rFonts w:hint="default" w:ascii="Times New Roman" w:hAnsi="Times New Roman" w:cs="Times New Roman"/>
          <w:color w:val="auto"/>
        </w:rPr>
        <w:t>到20</w:t>
      </w:r>
      <w:r>
        <w:rPr>
          <w:rFonts w:hint="default" w:ascii="Times New Roman" w:hAnsi="Times New Roman" w:cs="Times New Roman"/>
          <w:color w:val="auto"/>
          <w:lang w:val="en-US" w:eastAsia="zh-CN"/>
        </w:rPr>
        <w:t>30</w:t>
      </w:r>
      <w:r>
        <w:rPr>
          <w:rFonts w:hint="default" w:ascii="Times New Roman" w:hAnsi="Times New Roman" w:cs="Times New Roman"/>
          <w:color w:val="auto"/>
        </w:rPr>
        <w:t>年，每万人有效发明专利拥有量达到</w:t>
      </w:r>
      <w:r>
        <w:rPr>
          <w:rFonts w:hint="default" w:ascii="Times New Roman" w:hAnsi="Times New Roman" w:cs="Times New Roman"/>
          <w:color w:val="auto"/>
          <w:szCs w:val="32"/>
          <w:lang w:val="en-US" w:eastAsia="zh-CN"/>
        </w:rPr>
        <w:t>15</w:t>
      </w:r>
      <w:r>
        <w:rPr>
          <w:rFonts w:hint="default" w:ascii="Times New Roman" w:hAnsi="Times New Roman" w:cs="Times New Roman"/>
          <w:color w:val="auto"/>
          <w:szCs w:val="32"/>
        </w:rPr>
        <w:t>件</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lang w:val="en-US" w:eastAsia="zh-CN"/>
        </w:rPr>
        <w:t>每万人口高价值发明专利拥有量达到3件以上。</w:t>
      </w:r>
    </w:p>
    <w:tbl>
      <w:tblPr>
        <w:tblStyle w:val="15"/>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8"/>
      </w:tblGrid>
      <w:tr w14:paraId="683B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noWrap w:val="0"/>
            <w:vAlign w:val="top"/>
          </w:tcPr>
          <w:p w14:paraId="1CAD68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专栏3-3  科技创新体系建设工程</w:t>
            </w:r>
          </w:p>
        </w:tc>
      </w:tr>
      <w:tr w14:paraId="50FF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noWrap w:val="0"/>
            <w:vAlign w:val="top"/>
          </w:tcPr>
          <w:p w14:paraId="2F9D888F">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cs="Times New Roman"/>
                <w:b w:val="0"/>
                <w:bCs w:val="0"/>
                <w:color w:val="auto"/>
                <w:spacing w:val="0"/>
                <w:kern w:val="2"/>
                <w:sz w:val="24"/>
                <w:szCs w:val="24"/>
                <w:vertAlign w:val="baseline"/>
                <w:lang w:val="en-US" w:eastAsia="zh-CN" w:bidi="ar-SA"/>
              </w:rPr>
              <w:t>重点建设汉台区工业母机产业集群科研攻关、汉台区优质油菜品种选育及配套技术研发、秦巴山区水产养殖与精深加工研发等项目。</w:t>
            </w:r>
            <w:r>
              <w:rPr>
                <w:rFonts w:hint="default" w:ascii="Times New Roman" w:hAnsi="Times New Roman" w:eastAsia="仿宋_GB2312" w:cs="Times New Roman"/>
                <w:b w:val="0"/>
                <w:bCs w:val="0"/>
                <w:color w:val="auto"/>
                <w:spacing w:val="0"/>
                <w:kern w:val="2"/>
                <w:sz w:val="24"/>
                <w:szCs w:val="24"/>
                <w:vertAlign w:val="baseline"/>
                <w:lang w:val="en-US" w:eastAsia="zh-CN" w:bidi="ar-SA"/>
              </w:rPr>
              <w:t>通过</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揭榜挂帅</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等方式，集中力量突破一批</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卡脖子</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关键核心技术。开展科技成果转化</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三项改革</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，支持社会各界申报专利、注册商标、登记版权。</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十五五</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期间，推动科技成果转化50项，完成技术合同成交额15亿元以上。</w:t>
            </w:r>
          </w:p>
        </w:tc>
      </w:tr>
    </w:tbl>
    <w:p w14:paraId="69AF8587">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CESI黑体-GB2312" w:hAnsi="CESI黑体-GB2312" w:eastAsia="CESI黑体-GB2312" w:cs="CESI黑体-GB2312"/>
          <w:lang w:val="en-US" w:eastAsia="zh-CN"/>
        </w:rPr>
      </w:pPr>
      <w:bookmarkStart w:id="140" w:name="_Toc3521"/>
      <w:bookmarkStart w:id="141" w:name="_Toc12694"/>
      <w:bookmarkStart w:id="142" w:name="_Toc28667"/>
      <w:r>
        <w:rPr>
          <w:rFonts w:hint="default" w:ascii="CESI黑体-GB2312" w:hAnsi="CESI黑体-GB2312" w:eastAsia="CESI黑体-GB2312" w:cs="CESI黑体-GB2312"/>
          <w:lang w:val="en-US" w:eastAsia="zh-CN"/>
        </w:rPr>
        <w:t>第四节  推动教育科技人才发展</w:t>
      </w:r>
      <w:bookmarkEnd w:id="140"/>
      <w:bookmarkEnd w:id="141"/>
      <w:bookmarkEnd w:id="142"/>
    </w:p>
    <w:p w14:paraId="378DC0ED">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textAlignment w:val="center"/>
        <w:rPr>
          <w:rFonts w:hint="default" w:ascii="Times New Roman" w:hAnsi="Times New Roman" w:eastAsia="黑体" w:cs="Times New Roman"/>
          <w:b w:val="0"/>
          <w:bCs/>
          <w:color w:val="auto"/>
          <w:rtl w:val="0"/>
          <w:lang w:val="en-US" w:eastAsia="zh-CN"/>
        </w:rPr>
      </w:pPr>
      <w:bookmarkStart w:id="143" w:name="_Toc29825"/>
      <w:bookmarkStart w:id="144" w:name="_Toc30551"/>
      <w:r>
        <w:rPr>
          <w:rFonts w:hint="default" w:ascii="Times New Roman" w:hAnsi="Times New Roman" w:eastAsia="黑体" w:cs="Times New Roman"/>
          <w:b w:val="0"/>
          <w:bCs/>
          <w:color w:val="auto"/>
          <w:rtl w:val="0"/>
          <w:lang w:val="en-US" w:eastAsia="zh-CN"/>
        </w:rPr>
        <w:t>一、加大人才引进力度</w:t>
      </w:r>
      <w:bookmarkEnd w:id="143"/>
      <w:bookmarkEnd w:id="144"/>
    </w:p>
    <w:p w14:paraId="345FA2F8">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kern w:val="0"/>
          <w:szCs w:val="32"/>
          <w:lang w:val="en-US" w:eastAsia="zh-CN"/>
        </w:rPr>
      </w:pPr>
      <w:r>
        <w:rPr>
          <w:rFonts w:hint="default" w:ascii="Times New Roman" w:hAnsi="Times New Roman" w:eastAsia="仿宋_GB2312" w:cs="Times New Roman"/>
          <w:color w:val="auto"/>
          <w:sz w:val="32"/>
          <w:szCs w:val="32"/>
          <w:lang w:val="en-US" w:eastAsia="zh-CN"/>
        </w:rPr>
        <w:t>对接中央和省市重大人才工程，制定人才发展专项规划，</w:t>
      </w:r>
      <w:r>
        <w:rPr>
          <w:rFonts w:hint="default" w:ascii="Times New Roman" w:hAnsi="Times New Roman" w:eastAsia="仿宋_GB2312" w:cs="Times New Roman"/>
          <w:b w:val="0"/>
          <w:color w:val="auto"/>
          <w:kern w:val="2"/>
          <w:sz w:val="32"/>
          <w:szCs w:val="32"/>
          <w:lang w:val="en-US" w:eastAsia="zh-CN" w:bidi="ar-SA"/>
        </w:rPr>
        <w:t>健全科学的人才分类标准体系，建立人才供需精准对接平台</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b w:val="0"/>
          <w:color w:val="auto"/>
          <w:kern w:val="2"/>
          <w:sz w:val="32"/>
          <w:szCs w:val="32"/>
          <w:lang w:val="en-US" w:eastAsia="zh-CN" w:bidi="ar-SA"/>
        </w:rPr>
        <w:t>实施</w:t>
      </w:r>
      <w:r>
        <w:rPr>
          <w:rFonts w:hint="eastAsia" w:cs="Times New Roman"/>
          <w:b w:val="0"/>
          <w:color w:val="auto"/>
          <w:kern w:val="2"/>
          <w:sz w:val="32"/>
          <w:szCs w:val="32"/>
          <w:lang w:val="en-US" w:eastAsia="zh-CN" w:bidi="ar-SA"/>
        </w:rPr>
        <w:t>“</w:t>
      </w:r>
      <w:r>
        <w:rPr>
          <w:rFonts w:hint="default" w:ascii="Times New Roman" w:hAnsi="Times New Roman" w:eastAsia="仿宋_GB2312" w:cs="Times New Roman"/>
          <w:b w:val="0"/>
          <w:color w:val="auto"/>
          <w:kern w:val="2"/>
          <w:sz w:val="32"/>
          <w:szCs w:val="32"/>
          <w:lang w:val="en-US" w:eastAsia="zh-CN" w:bidi="ar-SA"/>
        </w:rPr>
        <w:t>天汉英才</w:t>
      </w:r>
      <w:r>
        <w:rPr>
          <w:rFonts w:hint="eastAsia" w:cs="Times New Roman"/>
          <w:b w:val="0"/>
          <w:color w:val="auto"/>
          <w:kern w:val="2"/>
          <w:sz w:val="32"/>
          <w:szCs w:val="32"/>
          <w:lang w:val="en-US" w:eastAsia="zh-CN" w:bidi="ar-SA"/>
        </w:rPr>
        <w:t>”</w:t>
      </w:r>
      <w:r>
        <w:rPr>
          <w:rFonts w:hint="default" w:ascii="Times New Roman" w:hAnsi="Times New Roman" w:eastAsia="仿宋_GB2312" w:cs="Times New Roman"/>
          <w:b w:val="0"/>
          <w:color w:val="auto"/>
          <w:kern w:val="2"/>
          <w:sz w:val="32"/>
          <w:szCs w:val="32"/>
          <w:lang w:val="en-US" w:eastAsia="zh-CN" w:bidi="ar-SA"/>
        </w:rPr>
        <w:t>计划，推进</w:t>
      </w:r>
      <w:r>
        <w:rPr>
          <w:rFonts w:hint="eastAsia" w:cs="Times New Roman"/>
          <w:b w:val="0"/>
          <w:color w:val="auto"/>
          <w:kern w:val="2"/>
          <w:sz w:val="32"/>
          <w:szCs w:val="32"/>
          <w:lang w:val="en-US" w:eastAsia="zh-CN" w:bidi="ar-SA"/>
        </w:rPr>
        <w:t>“</w:t>
      </w:r>
      <w:r>
        <w:rPr>
          <w:rFonts w:hint="default" w:ascii="Times New Roman" w:hAnsi="Times New Roman" w:eastAsia="仿宋_GB2312" w:cs="Times New Roman"/>
          <w:b w:val="0"/>
          <w:color w:val="auto"/>
          <w:kern w:val="2"/>
          <w:sz w:val="32"/>
          <w:szCs w:val="32"/>
          <w:lang w:val="en-US" w:eastAsia="zh-CN" w:bidi="ar-SA"/>
        </w:rPr>
        <w:t>百千万</w:t>
      </w:r>
      <w:r>
        <w:rPr>
          <w:rFonts w:hint="eastAsia" w:cs="Times New Roman"/>
          <w:b w:val="0"/>
          <w:color w:val="auto"/>
          <w:kern w:val="2"/>
          <w:sz w:val="32"/>
          <w:szCs w:val="32"/>
          <w:lang w:val="en-US" w:eastAsia="zh-CN" w:bidi="ar-SA"/>
        </w:rPr>
        <w:t>”</w:t>
      </w:r>
      <w:r>
        <w:rPr>
          <w:rFonts w:hint="default" w:ascii="Times New Roman" w:hAnsi="Times New Roman" w:eastAsia="仿宋_GB2312" w:cs="Times New Roman"/>
          <w:b w:val="0"/>
          <w:color w:val="auto"/>
          <w:kern w:val="2"/>
          <w:sz w:val="32"/>
          <w:szCs w:val="32"/>
          <w:lang w:val="en-US" w:eastAsia="zh-CN" w:bidi="ar-SA"/>
        </w:rPr>
        <w:t>人才工程</w:t>
      </w:r>
      <w:r>
        <w:rPr>
          <w:rFonts w:hint="default" w:ascii="Times New Roman" w:hAnsi="Times New Roman" w:cs="Times New Roman"/>
          <w:b w:val="0"/>
          <w:color w:val="auto"/>
          <w:kern w:val="2"/>
          <w:sz w:val="32"/>
          <w:szCs w:val="32"/>
          <w:lang w:val="en-US" w:eastAsia="zh-CN" w:bidi="ar-SA"/>
        </w:rPr>
        <w:t>。</w:t>
      </w:r>
      <w:r>
        <w:rPr>
          <w:rFonts w:hint="default" w:ascii="Times New Roman" w:hAnsi="Times New Roman" w:eastAsia="仿宋_GB2312" w:cs="Times New Roman"/>
          <w:b w:val="0"/>
          <w:color w:val="auto"/>
          <w:kern w:val="2"/>
          <w:sz w:val="32"/>
          <w:szCs w:val="32"/>
          <w:lang w:val="en-US" w:eastAsia="zh-CN" w:bidi="ar-SA"/>
        </w:rPr>
        <w:t>完善青年科技人才发现、选拔、培养机制，培养造就一批科技领军人才、创新团队和高技能人才队伍。</w:t>
      </w:r>
      <w:r>
        <w:rPr>
          <w:rFonts w:hint="default" w:ascii="Times New Roman" w:hAnsi="Times New Roman" w:eastAsia="仿宋_GB2312" w:cs="Times New Roman"/>
          <w:color w:val="auto"/>
          <w:sz w:val="32"/>
          <w:szCs w:val="32"/>
          <w:lang w:val="en-US" w:eastAsia="zh-CN"/>
        </w:rPr>
        <w:t>支持企业</w:t>
      </w:r>
      <w:r>
        <w:rPr>
          <w:rFonts w:hint="default" w:ascii="Times New Roman" w:hAnsi="Times New Roman" w:cs="Times New Roman"/>
          <w:color w:val="auto"/>
          <w:kern w:val="0"/>
          <w:szCs w:val="32"/>
        </w:rPr>
        <w:t>通过社会公开招录、区外挖掘调入、</w:t>
      </w:r>
      <w:r>
        <w:rPr>
          <w:rFonts w:hint="eastAsia" w:cs="Times New Roman"/>
          <w:color w:val="auto"/>
          <w:kern w:val="0"/>
          <w:szCs w:val="32"/>
          <w:lang w:eastAsia="zh-CN"/>
        </w:rPr>
        <w:t>“</w:t>
      </w:r>
      <w:r>
        <w:rPr>
          <w:rFonts w:hint="default" w:ascii="Times New Roman" w:hAnsi="Times New Roman" w:cs="Times New Roman"/>
          <w:color w:val="auto"/>
          <w:kern w:val="0"/>
          <w:szCs w:val="32"/>
        </w:rPr>
        <w:t>进高校招英才</w:t>
      </w:r>
      <w:r>
        <w:rPr>
          <w:rFonts w:hint="eastAsia" w:cs="Times New Roman"/>
          <w:color w:val="auto"/>
          <w:kern w:val="0"/>
          <w:szCs w:val="32"/>
          <w:lang w:eastAsia="zh-CN"/>
        </w:rPr>
        <w:t>”</w:t>
      </w:r>
      <w:r>
        <w:rPr>
          <w:rFonts w:hint="default" w:ascii="Times New Roman" w:hAnsi="Times New Roman" w:cs="Times New Roman"/>
          <w:color w:val="auto"/>
          <w:kern w:val="0"/>
          <w:szCs w:val="32"/>
        </w:rPr>
        <w:t>等方式，招引优秀大学毕业生</w:t>
      </w:r>
      <w:r>
        <w:rPr>
          <w:rFonts w:hint="default" w:ascii="Times New Roman" w:hAnsi="Times New Roman" w:cs="Times New Roman"/>
          <w:color w:val="auto"/>
          <w:kern w:val="0"/>
          <w:szCs w:val="32"/>
          <w:lang w:eastAsia="zh-CN"/>
        </w:rPr>
        <w:t>。</w:t>
      </w:r>
      <w:r>
        <w:rPr>
          <w:rFonts w:hint="default" w:ascii="Times New Roman" w:hAnsi="Times New Roman" w:cs="Times New Roman"/>
          <w:color w:val="auto"/>
          <w:kern w:val="0"/>
          <w:szCs w:val="32"/>
        </w:rPr>
        <w:t>大力引进智能制造、数字经济等领域领军人才和高级技术人才</w:t>
      </w:r>
      <w:r>
        <w:rPr>
          <w:rFonts w:hint="default" w:ascii="Times New Roman" w:hAnsi="Times New Roman" w:eastAsia="仿宋_GB2312" w:cs="Times New Roman"/>
          <w:color w:val="auto"/>
          <w:sz w:val="32"/>
          <w:szCs w:val="32"/>
        </w:rPr>
        <w:t>。</w:t>
      </w:r>
      <w:r>
        <w:rPr>
          <w:rFonts w:hint="default" w:ascii="Times New Roman" w:hAnsi="Times New Roman" w:cs="Times New Roman"/>
          <w:color w:val="auto"/>
          <w:kern w:val="0"/>
          <w:szCs w:val="32"/>
        </w:rPr>
        <w:t>推行</w:t>
      </w:r>
      <w:r>
        <w:rPr>
          <w:rFonts w:hint="eastAsia" w:cs="Times New Roman"/>
          <w:color w:val="auto"/>
          <w:kern w:val="0"/>
          <w:szCs w:val="32"/>
          <w:lang w:eastAsia="zh-CN"/>
        </w:rPr>
        <w:t>“</w:t>
      </w:r>
      <w:r>
        <w:rPr>
          <w:rFonts w:hint="default" w:ascii="Times New Roman" w:hAnsi="Times New Roman" w:cs="Times New Roman"/>
          <w:color w:val="auto"/>
          <w:kern w:val="0"/>
          <w:szCs w:val="32"/>
        </w:rPr>
        <w:t>短期聘用、定期服务、技术合作</w:t>
      </w:r>
      <w:r>
        <w:rPr>
          <w:rFonts w:hint="eastAsia" w:cs="Times New Roman"/>
          <w:color w:val="auto"/>
          <w:kern w:val="0"/>
          <w:szCs w:val="32"/>
          <w:lang w:eastAsia="zh-CN"/>
        </w:rPr>
        <w:t>”</w:t>
      </w:r>
      <w:r>
        <w:rPr>
          <w:rFonts w:hint="default" w:ascii="Times New Roman" w:hAnsi="Times New Roman" w:cs="Times New Roman"/>
          <w:color w:val="auto"/>
          <w:kern w:val="0"/>
          <w:szCs w:val="32"/>
        </w:rPr>
        <w:t>等柔性引智方式，建设</w:t>
      </w:r>
      <w:r>
        <w:rPr>
          <w:rFonts w:hint="default" w:ascii="Times New Roman" w:hAnsi="Times New Roman" w:cs="Times New Roman"/>
          <w:color w:val="auto"/>
          <w:kern w:val="0"/>
          <w:szCs w:val="32"/>
          <w:lang w:val="en-US" w:eastAsia="zh-CN"/>
        </w:rPr>
        <w:t>院士</w:t>
      </w:r>
      <w:r>
        <w:rPr>
          <w:rFonts w:hint="default" w:ascii="Times New Roman" w:hAnsi="Times New Roman" w:cs="Times New Roman"/>
          <w:color w:val="auto"/>
          <w:kern w:val="0"/>
          <w:szCs w:val="32"/>
        </w:rPr>
        <w:t>专家工作站、博士工作站，引进经营管理人才和高技术人才。实施</w:t>
      </w:r>
      <w:r>
        <w:rPr>
          <w:rFonts w:hint="default" w:ascii="Times New Roman" w:hAnsi="Times New Roman" w:cs="Times New Roman"/>
          <w:color w:val="auto"/>
          <w:kern w:val="0"/>
          <w:szCs w:val="32"/>
          <w:lang w:eastAsia="zh-CN"/>
        </w:rPr>
        <w:t>汉</w:t>
      </w:r>
      <w:r>
        <w:rPr>
          <w:rFonts w:hint="default" w:ascii="Times New Roman" w:hAnsi="Times New Roman" w:cs="Times New Roman"/>
          <w:color w:val="auto"/>
          <w:kern w:val="0"/>
          <w:szCs w:val="32"/>
        </w:rPr>
        <w:t>籍人才回流工程，吸引在外汉籍专家、创业者和优秀青年人才回汉创新创业、科技成果对接转化。</w:t>
      </w:r>
      <w:r>
        <w:rPr>
          <w:rFonts w:hint="eastAsia" w:cs="Times New Roman"/>
          <w:color w:val="auto"/>
          <w:kern w:val="0"/>
          <w:szCs w:val="32"/>
          <w:lang w:eastAsia="zh-CN"/>
        </w:rPr>
        <w:t>“</w:t>
      </w:r>
      <w:r>
        <w:rPr>
          <w:rFonts w:hint="default" w:ascii="Times New Roman" w:hAnsi="Times New Roman" w:cs="Times New Roman"/>
          <w:color w:val="auto"/>
          <w:kern w:val="0"/>
          <w:szCs w:val="32"/>
          <w:lang w:val="en-US" w:eastAsia="zh-CN"/>
        </w:rPr>
        <w:t>十五五</w:t>
      </w:r>
      <w:r>
        <w:rPr>
          <w:rFonts w:hint="eastAsia" w:cs="Times New Roman"/>
          <w:color w:val="auto"/>
          <w:kern w:val="0"/>
          <w:szCs w:val="32"/>
          <w:lang w:eastAsia="zh-CN"/>
        </w:rPr>
        <w:t>”</w:t>
      </w:r>
      <w:r>
        <w:rPr>
          <w:rFonts w:hint="default" w:ascii="Times New Roman" w:hAnsi="Times New Roman" w:cs="Times New Roman"/>
          <w:color w:val="auto"/>
          <w:kern w:val="0"/>
          <w:szCs w:val="32"/>
          <w:lang w:val="en-US" w:eastAsia="zh-CN"/>
        </w:rPr>
        <w:t>期间，招引高层次人才200人以上。</w:t>
      </w:r>
      <w:bookmarkStart w:id="145" w:name="_Toc7266"/>
      <w:bookmarkStart w:id="146" w:name="_Toc5075"/>
    </w:p>
    <w:p w14:paraId="6177ED6E">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黑体" w:cs="Times New Roman"/>
          <w:b w:val="0"/>
          <w:bCs/>
          <w:color w:val="auto"/>
          <w:rtl w:val="0"/>
          <w:lang w:val="en-US" w:eastAsia="zh-CN"/>
        </w:rPr>
      </w:pPr>
      <w:r>
        <w:rPr>
          <w:rFonts w:hint="default" w:ascii="Times New Roman" w:hAnsi="Times New Roman" w:eastAsia="黑体" w:cs="Times New Roman"/>
          <w:b w:val="0"/>
          <w:bCs/>
          <w:color w:val="auto"/>
          <w:rtl w:val="0"/>
          <w:lang w:val="en-US" w:eastAsia="zh-CN"/>
        </w:rPr>
        <w:t>二、创新人才培养模式</w:t>
      </w:r>
      <w:bookmarkEnd w:id="145"/>
      <w:bookmarkEnd w:id="146"/>
    </w:p>
    <w:p w14:paraId="51CE7B6B">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cs="Times New Roman"/>
          <w:color w:val="auto"/>
          <w:kern w:val="0"/>
          <w:szCs w:val="32"/>
        </w:rPr>
        <w:t>加强全区各类高层次人才的选育推荐，深化</w:t>
      </w:r>
      <w:r>
        <w:rPr>
          <w:rFonts w:hint="eastAsia" w:cs="Times New Roman"/>
          <w:color w:val="auto"/>
          <w:kern w:val="0"/>
          <w:szCs w:val="32"/>
          <w:lang w:eastAsia="zh-CN"/>
        </w:rPr>
        <w:t>“</w:t>
      </w:r>
      <w:r>
        <w:rPr>
          <w:rFonts w:hint="default" w:ascii="Times New Roman" w:hAnsi="Times New Roman" w:cs="Times New Roman"/>
          <w:color w:val="auto"/>
          <w:kern w:val="0"/>
          <w:szCs w:val="32"/>
        </w:rPr>
        <w:t>汉台名师</w:t>
      </w:r>
      <w:r>
        <w:rPr>
          <w:rFonts w:hint="eastAsia" w:cs="Times New Roman"/>
          <w:color w:val="auto"/>
          <w:kern w:val="0"/>
          <w:szCs w:val="32"/>
          <w:lang w:eastAsia="zh-CN"/>
        </w:rPr>
        <w:t>”“</w:t>
      </w:r>
      <w:r>
        <w:rPr>
          <w:rFonts w:hint="default" w:ascii="Times New Roman" w:hAnsi="Times New Roman" w:cs="Times New Roman"/>
          <w:color w:val="auto"/>
          <w:kern w:val="0"/>
          <w:szCs w:val="32"/>
        </w:rPr>
        <w:t>汉台名医</w:t>
      </w:r>
      <w:r>
        <w:rPr>
          <w:rFonts w:hint="eastAsia" w:cs="Times New Roman"/>
          <w:color w:val="auto"/>
          <w:kern w:val="0"/>
          <w:szCs w:val="32"/>
          <w:lang w:eastAsia="zh-CN"/>
        </w:rPr>
        <w:t>”“</w:t>
      </w:r>
      <w:r>
        <w:rPr>
          <w:rFonts w:hint="default" w:ascii="Times New Roman" w:hAnsi="Times New Roman" w:cs="Times New Roman"/>
          <w:color w:val="auto"/>
          <w:kern w:val="0"/>
          <w:szCs w:val="32"/>
        </w:rPr>
        <w:t>汉台工匠</w:t>
      </w:r>
      <w:r>
        <w:rPr>
          <w:rFonts w:hint="eastAsia" w:cs="Times New Roman"/>
          <w:color w:val="auto"/>
          <w:kern w:val="0"/>
          <w:szCs w:val="32"/>
          <w:lang w:eastAsia="zh-CN"/>
        </w:rPr>
        <w:t>”</w:t>
      </w:r>
      <w:r>
        <w:rPr>
          <w:rFonts w:hint="default" w:ascii="Times New Roman" w:hAnsi="Times New Roman" w:cs="Times New Roman"/>
          <w:color w:val="auto"/>
          <w:kern w:val="0"/>
          <w:szCs w:val="32"/>
        </w:rPr>
        <w:t>等评选表彰工作。</w:t>
      </w:r>
      <w:r>
        <w:rPr>
          <w:rFonts w:hint="default" w:ascii="Times New Roman" w:hAnsi="Times New Roman" w:cs="Times New Roman"/>
          <w:color w:val="auto"/>
          <w:kern w:val="2"/>
          <w:sz w:val="32"/>
          <w:szCs w:val="32"/>
          <w:highlight w:val="none"/>
          <w:lang w:val="en-US" w:eastAsia="zh-CN"/>
        </w:rPr>
        <w:t>加快培育秦创原</w:t>
      </w:r>
      <w:r>
        <w:rPr>
          <w:rFonts w:hint="default" w:ascii="Times New Roman" w:hAnsi="Times New Roman" w:eastAsia="仿宋_GB2312" w:cs="Times New Roman"/>
          <w:color w:val="auto"/>
          <w:kern w:val="2"/>
          <w:sz w:val="32"/>
          <w:szCs w:val="32"/>
          <w:highlight w:val="none"/>
          <w:lang w:val="en-US" w:eastAsia="zh-CN"/>
        </w:rPr>
        <w:t>科技经纪人、科学家+工程师、新双创</w:t>
      </w:r>
      <w:r>
        <w:rPr>
          <w:rFonts w:hint="eastAsia"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lang w:val="en-US" w:eastAsia="zh-CN"/>
        </w:rPr>
        <w:t>三支</w:t>
      </w:r>
      <w:r>
        <w:rPr>
          <w:rFonts w:hint="eastAsia" w:cs="Times New Roman"/>
          <w:color w:val="auto"/>
          <w:kern w:val="2"/>
          <w:sz w:val="32"/>
          <w:szCs w:val="32"/>
          <w:highlight w:val="none"/>
          <w:lang w:val="en-US" w:eastAsia="zh-CN"/>
        </w:rPr>
        <w:t>”</w:t>
      </w:r>
      <w:r>
        <w:rPr>
          <w:rFonts w:hint="default" w:ascii="Times New Roman" w:hAnsi="Times New Roman" w:cs="Times New Roman"/>
          <w:color w:val="auto"/>
          <w:kern w:val="2"/>
          <w:sz w:val="32"/>
          <w:szCs w:val="32"/>
          <w:highlight w:val="none"/>
          <w:lang w:val="en-US" w:eastAsia="zh-CN"/>
        </w:rPr>
        <w:t>人才</w:t>
      </w:r>
      <w:r>
        <w:rPr>
          <w:rFonts w:hint="default" w:ascii="Times New Roman" w:hAnsi="Times New Roman" w:eastAsia="仿宋_GB2312" w:cs="Times New Roman"/>
          <w:color w:val="auto"/>
          <w:kern w:val="2"/>
          <w:sz w:val="32"/>
          <w:szCs w:val="32"/>
          <w:highlight w:val="none"/>
          <w:lang w:val="en-US" w:eastAsia="zh-CN"/>
        </w:rPr>
        <w:t>队伍</w:t>
      </w:r>
      <w:r>
        <w:rPr>
          <w:rFonts w:hint="default" w:ascii="Times New Roman" w:hAnsi="Times New Roman" w:cs="Times New Roman"/>
          <w:color w:val="auto"/>
          <w:kern w:val="2"/>
          <w:sz w:val="32"/>
          <w:szCs w:val="32"/>
          <w:highlight w:val="none"/>
          <w:lang w:val="en-US" w:eastAsia="zh-CN"/>
        </w:rPr>
        <w:t>。</w:t>
      </w:r>
      <w:r>
        <w:rPr>
          <w:rFonts w:hint="default" w:ascii="Times New Roman" w:hAnsi="Times New Roman" w:eastAsia="仿宋_GB2312" w:cs="Times New Roman"/>
          <w:color w:val="auto"/>
          <w:sz w:val="32"/>
          <w:szCs w:val="32"/>
        </w:rPr>
        <w:t>大力发展职业培育，依托汉中职业技术学院、职业培训机构</w:t>
      </w:r>
      <w:r>
        <w:rPr>
          <w:rFonts w:hint="default" w:ascii="Times New Roman" w:hAnsi="Times New Roman" w:cs="Times New Roman"/>
          <w:color w:val="auto"/>
          <w:sz w:val="32"/>
          <w:szCs w:val="32"/>
          <w:lang w:val="en-US" w:eastAsia="zh-CN"/>
        </w:rPr>
        <w:t>等</w:t>
      </w:r>
      <w:r>
        <w:rPr>
          <w:rFonts w:hint="default" w:ascii="Times New Roman" w:hAnsi="Times New Roman" w:eastAsia="仿宋_GB2312" w:cs="Times New Roman"/>
          <w:color w:val="auto"/>
          <w:sz w:val="32"/>
          <w:szCs w:val="32"/>
        </w:rPr>
        <w:t>，</w:t>
      </w:r>
      <w:r>
        <w:rPr>
          <w:rFonts w:hint="default" w:ascii="Times New Roman" w:hAnsi="Times New Roman" w:cs="Times New Roman"/>
          <w:color w:val="auto"/>
          <w:kern w:val="0"/>
          <w:szCs w:val="32"/>
        </w:rPr>
        <w:t>推行开放式校企联合培养模式，以订单式和现代学徒制等方式，培养一批高技能人才和</w:t>
      </w:r>
      <w:r>
        <w:rPr>
          <w:rFonts w:hint="eastAsia" w:cs="Times New Roman"/>
          <w:color w:val="auto"/>
          <w:kern w:val="0"/>
          <w:szCs w:val="32"/>
          <w:lang w:eastAsia="zh-CN"/>
        </w:rPr>
        <w:t>“</w:t>
      </w:r>
      <w:r>
        <w:rPr>
          <w:rFonts w:hint="default" w:ascii="Times New Roman" w:hAnsi="Times New Roman" w:cs="Times New Roman"/>
          <w:color w:val="auto"/>
          <w:kern w:val="0"/>
          <w:szCs w:val="32"/>
        </w:rPr>
        <w:t>工匠人才</w:t>
      </w:r>
      <w:r>
        <w:rPr>
          <w:rFonts w:hint="eastAsia" w:cs="Times New Roman"/>
          <w:color w:val="auto"/>
          <w:kern w:val="0"/>
          <w:szCs w:val="32"/>
          <w:lang w:eastAsia="zh-CN"/>
        </w:rPr>
        <w:t>”</w:t>
      </w:r>
      <w:r>
        <w:rPr>
          <w:rFonts w:hint="default" w:ascii="Times New Roman" w:hAnsi="Times New Roman" w:cs="Times New Roman"/>
          <w:color w:val="auto"/>
          <w:kern w:val="0"/>
          <w:szCs w:val="32"/>
        </w:rPr>
        <w:t>。支持高层次人才带项目、带成果、带资金在汉台创业，构建</w:t>
      </w:r>
      <w:r>
        <w:rPr>
          <w:rFonts w:hint="eastAsia" w:cs="Times New Roman"/>
          <w:color w:val="auto"/>
          <w:kern w:val="0"/>
          <w:szCs w:val="32"/>
          <w:lang w:eastAsia="zh-CN"/>
        </w:rPr>
        <w:t>“</w:t>
      </w:r>
      <w:r>
        <w:rPr>
          <w:rFonts w:hint="default" w:ascii="Times New Roman" w:hAnsi="Times New Roman" w:cs="Times New Roman"/>
          <w:color w:val="auto"/>
          <w:kern w:val="0"/>
          <w:szCs w:val="32"/>
        </w:rPr>
        <w:t>人才+项目+资本</w:t>
      </w:r>
      <w:r>
        <w:rPr>
          <w:rFonts w:hint="eastAsia" w:cs="Times New Roman"/>
          <w:color w:val="auto"/>
          <w:kern w:val="0"/>
          <w:szCs w:val="32"/>
          <w:lang w:eastAsia="zh-CN"/>
        </w:rPr>
        <w:t>”</w:t>
      </w:r>
      <w:r>
        <w:rPr>
          <w:rFonts w:hint="default" w:ascii="Times New Roman" w:hAnsi="Times New Roman" w:cs="Times New Roman"/>
          <w:color w:val="auto"/>
          <w:kern w:val="0"/>
          <w:szCs w:val="32"/>
        </w:rPr>
        <w:t>完整的高层次人才创新创业链。加强对企业经营管理者培训。</w:t>
      </w:r>
      <w:r>
        <w:rPr>
          <w:rFonts w:hint="default" w:ascii="Times New Roman" w:hAnsi="Times New Roman" w:eastAsia="仿宋_GB2312" w:cs="Times New Roman"/>
          <w:i w:val="0"/>
          <w:iCs w:val="0"/>
          <w:caps w:val="0"/>
          <w:color w:val="auto"/>
          <w:spacing w:val="0"/>
          <w:sz w:val="32"/>
          <w:szCs w:val="32"/>
        </w:rPr>
        <w:t>坚持和完善科技特派员制度，</w:t>
      </w:r>
      <w:r>
        <w:rPr>
          <w:rFonts w:hint="default" w:ascii="Times New Roman" w:hAnsi="Times New Roman" w:eastAsia="仿宋_GB2312" w:cs="Times New Roman"/>
          <w:i w:val="0"/>
          <w:iCs w:val="0"/>
          <w:caps w:val="0"/>
          <w:color w:val="auto"/>
          <w:spacing w:val="0"/>
          <w:sz w:val="32"/>
          <w:szCs w:val="32"/>
          <w:shd w:val="clear" w:color="auto" w:fill="FFFFFF"/>
          <w:lang w:val="en-US" w:eastAsia="zh-CN"/>
        </w:rPr>
        <w:t>培育一批带动能力强、有一技之长的农业科技专家、</w:t>
      </w:r>
      <w:r>
        <w:rPr>
          <w:rFonts w:hint="eastAsia" w:cs="Times New Roman"/>
          <w:i w:val="0"/>
          <w:iCs w:val="0"/>
          <w:caps w:val="0"/>
          <w:color w:val="auto"/>
          <w:spacing w:val="0"/>
          <w:sz w:val="32"/>
          <w:szCs w:val="32"/>
          <w:shd w:val="clear" w:color="auto" w:fill="FFFFFF"/>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lang w:val="en-US" w:eastAsia="zh-CN"/>
        </w:rPr>
        <w:t>土专家</w:t>
      </w:r>
      <w:r>
        <w:rPr>
          <w:rFonts w:hint="eastAsia" w:cs="Times New Roman"/>
          <w:i w:val="0"/>
          <w:iCs w:val="0"/>
          <w:caps w:val="0"/>
          <w:color w:val="auto"/>
          <w:spacing w:val="0"/>
          <w:sz w:val="32"/>
          <w:szCs w:val="32"/>
          <w:shd w:val="clear" w:color="auto" w:fill="FFFFFF"/>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lang w:val="en-US" w:eastAsia="zh-CN"/>
        </w:rPr>
        <w:t>田秀才</w:t>
      </w:r>
      <w:r>
        <w:rPr>
          <w:rFonts w:hint="eastAsia" w:cs="Times New Roman"/>
          <w:i w:val="0"/>
          <w:iCs w:val="0"/>
          <w:caps w:val="0"/>
          <w:color w:val="auto"/>
          <w:spacing w:val="0"/>
          <w:sz w:val="32"/>
          <w:szCs w:val="32"/>
          <w:shd w:val="clear" w:color="auto" w:fill="FFFFFF"/>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lang w:val="en-US" w:eastAsia="zh-CN"/>
        </w:rPr>
        <w:t>，扶持一批农业职业经理人、乡村工匠、文化能人、农业科技明白人、非遗传承人等乡土人才。</w:t>
      </w:r>
      <w:r>
        <w:rPr>
          <w:rFonts w:hint="default" w:ascii="Times New Roman" w:hAnsi="Times New Roman" w:cs="Times New Roman"/>
          <w:color w:val="auto"/>
          <w:szCs w:val="32"/>
        </w:rPr>
        <w:t>弘扬科学精神和工匠精神，加强科普工作，营造崇尚创新的社会氛围，不断提高全民科学素质。</w:t>
      </w:r>
      <w:bookmarkStart w:id="147" w:name="_Toc25296"/>
      <w:bookmarkStart w:id="148" w:name="_Toc3540"/>
    </w:p>
    <w:p w14:paraId="6E5C9844">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黑体" w:cs="Times New Roman"/>
          <w:b w:val="0"/>
          <w:bCs/>
          <w:color w:val="auto"/>
          <w:rtl w:val="0"/>
          <w:lang w:val="en-US" w:eastAsia="zh-CN"/>
        </w:rPr>
      </w:pPr>
      <w:r>
        <w:rPr>
          <w:rFonts w:hint="default" w:ascii="Times New Roman" w:hAnsi="Times New Roman" w:eastAsia="黑体" w:cs="Times New Roman"/>
          <w:b w:val="0"/>
          <w:bCs/>
          <w:color w:val="auto"/>
          <w:rtl w:val="0"/>
          <w:lang w:val="en-US" w:eastAsia="zh-CN"/>
        </w:rPr>
        <w:t>三、营造人才发展氛围</w:t>
      </w:r>
      <w:bookmarkEnd w:id="147"/>
      <w:bookmarkEnd w:id="148"/>
    </w:p>
    <w:p w14:paraId="6010608A">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kern w:val="0"/>
          <w:szCs w:val="32"/>
        </w:rPr>
      </w:pPr>
      <w:r>
        <w:rPr>
          <w:rFonts w:hint="default" w:ascii="Times New Roman" w:hAnsi="Times New Roman" w:cs="Times New Roman"/>
          <w:color w:val="auto"/>
          <w:kern w:val="0"/>
          <w:szCs w:val="32"/>
          <w:lang w:val="en-US" w:eastAsia="zh-CN"/>
        </w:rPr>
        <w:t>积极完善</w:t>
      </w:r>
      <w:r>
        <w:rPr>
          <w:rFonts w:hint="default" w:ascii="Times New Roman" w:hAnsi="Times New Roman" w:cs="Times New Roman"/>
          <w:color w:val="auto"/>
          <w:kern w:val="0"/>
          <w:szCs w:val="32"/>
        </w:rPr>
        <w:t>人力资源服务体系</w:t>
      </w:r>
      <w:r>
        <w:rPr>
          <w:rFonts w:hint="default" w:ascii="Times New Roman" w:hAnsi="Times New Roman" w:cs="Times New Roman"/>
          <w:color w:val="auto"/>
          <w:kern w:val="0"/>
          <w:szCs w:val="32"/>
          <w:lang w:eastAsia="zh-CN"/>
        </w:rPr>
        <w:t>，</w:t>
      </w:r>
      <w:r>
        <w:rPr>
          <w:rFonts w:hint="default" w:ascii="Times New Roman" w:hAnsi="Times New Roman" w:eastAsia="仿宋_GB2312" w:cs="Times New Roman"/>
          <w:color w:val="auto"/>
          <w:sz w:val="32"/>
          <w:szCs w:val="32"/>
        </w:rPr>
        <w:t>推动创业孵化基地建设</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kern w:val="0"/>
          <w:szCs w:val="32"/>
        </w:rPr>
        <w:t>推进创新评价制度改革，完善以企业为主体的科技成果转化激励机制，完善科技成果、知识产权归属和利益分享机制，加大科研人员股权激励，激发科技人员创新创业积极性，实现科技人员智力劳动收入合理化。完善联系服务专家人才制度，建立优秀人才一站式服务中心，探索线上线下互通服务模式。</w:t>
      </w:r>
      <w:r>
        <w:rPr>
          <w:rFonts w:hint="default" w:ascii="Times New Roman" w:hAnsi="Times New Roman" w:cs="Times New Roman"/>
          <w:color w:val="auto"/>
          <w:kern w:val="0"/>
          <w:szCs w:val="32"/>
          <w:lang w:val="en-US" w:eastAsia="zh-CN"/>
        </w:rPr>
        <w:t>完善</w:t>
      </w:r>
      <w:r>
        <w:rPr>
          <w:rFonts w:hint="default" w:ascii="Times New Roman" w:hAnsi="Times New Roman" w:cs="Times New Roman"/>
          <w:color w:val="auto"/>
          <w:kern w:val="0"/>
          <w:szCs w:val="32"/>
        </w:rPr>
        <w:t>支持企业引进人才的政策措施，鼓励企业设立人才发展专项资金。坚持优秀人才定期研修培训制度，拓宽人才参政议政渠道，推动尊重劳动、尊重知识、尊重人才、尊重创造</w:t>
      </w:r>
      <w:r>
        <w:rPr>
          <w:rFonts w:hint="default" w:ascii="Times New Roman" w:hAnsi="Times New Roman" w:cs="Times New Roman"/>
          <w:color w:val="auto"/>
          <w:kern w:val="0"/>
          <w:szCs w:val="32"/>
          <w:lang w:val="en-US" w:eastAsia="zh-CN"/>
        </w:rPr>
        <w:t>的理念</w:t>
      </w:r>
      <w:r>
        <w:rPr>
          <w:rFonts w:hint="default" w:ascii="Times New Roman" w:hAnsi="Times New Roman" w:cs="Times New Roman"/>
          <w:color w:val="auto"/>
          <w:kern w:val="0"/>
          <w:szCs w:val="32"/>
        </w:rPr>
        <w:t>植根社会发展，形成尊重贤才、共谋大业的良好氛围。</w:t>
      </w:r>
    </w:p>
    <w:tbl>
      <w:tblPr>
        <w:tblStyle w:val="15"/>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8"/>
      </w:tblGrid>
      <w:tr w14:paraId="2695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8828" w:type="dxa"/>
            <w:noWrap w:val="0"/>
            <w:vAlign w:val="top"/>
          </w:tcPr>
          <w:p w14:paraId="7FC1BF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专栏3-4  教育科技人才发展工程</w:t>
            </w:r>
          </w:p>
        </w:tc>
      </w:tr>
      <w:tr w14:paraId="571B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8828" w:type="dxa"/>
            <w:noWrap w:val="0"/>
            <w:vAlign w:val="top"/>
          </w:tcPr>
          <w:p w14:paraId="1AD11FE1">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b/>
                <w:bCs/>
                <w:color w:val="auto"/>
                <w:spacing w:val="0"/>
                <w:kern w:val="2"/>
                <w:sz w:val="24"/>
                <w:szCs w:val="24"/>
                <w:vertAlign w:val="baseline"/>
                <w:lang w:val="en-US" w:eastAsia="zh-CN" w:bidi="ar-SA"/>
              </w:rPr>
            </w:pPr>
            <w:r>
              <w:rPr>
                <w:rFonts w:hint="default" w:ascii="Times New Roman" w:hAnsi="Times New Roman" w:eastAsia="仿宋_GB2312" w:cs="Times New Roman"/>
                <w:b w:val="0"/>
                <w:bCs w:val="0"/>
                <w:color w:val="auto"/>
                <w:spacing w:val="0"/>
                <w:kern w:val="2"/>
                <w:sz w:val="24"/>
                <w:szCs w:val="24"/>
                <w:vertAlign w:val="baseline"/>
                <w:lang w:val="en-US" w:eastAsia="zh-CN" w:bidi="ar-SA"/>
              </w:rPr>
              <w:t>实施</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天汉英才</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计划，推进</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百千万</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人才工程。大力发展</w:t>
            </w:r>
            <w:r>
              <w:rPr>
                <w:rFonts w:hint="default" w:ascii="Times New Roman" w:hAnsi="Times New Roman" w:cs="Times New Roman"/>
                <w:b w:val="0"/>
                <w:bCs w:val="0"/>
                <w:color w:val="auto"/>
                <w:spacing w:val="0"/>
                <w:kern w:val="2"/>
                <w:sz w:val="24"/>
                <w:szCs w:val="24"/>
                <w:vertAlign w:val="baseline"/>
                <w:lang w:val="en-US" w:eastAsia="zh-CN" w:bidi="ar-SA"/>
              </w:rPr>
              <w:t>职业培训</w:t>
            </w:r>
            <w:r>
              <w:rPr>
                <w:rFonts w:hint="default" w:ascii="Times New Roman" w:hAnsi="Times New Roman" w:eastAsia="仿宋_GB2312" w:cs="Times New Roman"/>
                <w:b w:val="0"/>
                <w:bCs w:val="0"/>
                <w:color w:val="auto"/>
                <w:spacing w:val="0"/>
                <w:kern w:val="2"/>
                <w:sz w:val="24"/>
                <w:szCs w:val="24"/>
                <w:vertAlign w:val="baseline"/>
                <w:lang w:val="en-US" w:eastAsia="zh-CN" w:bidi="ar-SA"/>
              </w:rPr>
              <w:t>，坚持和完善科技特派员制度。</w:t>
            </w:r>
            <w:r>
              <w:rPr>
                <w:rFonts w:hint="default" w:ascii="Times New Roman" w:hAnsi="Times New Roman" w:cs="Times New Roman"/>
                <w:b w:val="0"/>
                <w:bCs w:val="0"/>
                <w:color w:val="auto"/>
                <w:spacing w:val="0"/>
                <w:kern w:val="2"/>
                <w:sz w:val="24"/>
                <w:szCs w:val="24"/>
                <w:vertAlign w:val="baseline"/>
                <w:lang w:val="en-US" w:eastAsia="zh-CN" w:bidi="ar-SA"/>
              </w:rPr>
              <w:t>重点</w:t>
            </w:r>
            <w:r>
              <w:rPr>
                <w:rFonts w:hint="default" w:ascii="Times New Roman" w:hAnsi="Times New Roman" w:eastAsia="仿宋_GB2312" w:cs="Times New Roman"/>
                <w:b w:val="0"/>
                <w:bCs w:val="0"/>
                <w:color w:val="auto"/>
                <w:spacing w:val="0"/>
                <w:kern w:val="2"/>
                <w:sz w:val="24"/>
                <w:szCs w:val="24"/>
                <w:vertAlign w:val="baseline"/>
                <w:lang w:val="en-US" w:eastAsia="zh-CN" w:bidi="ar-SA"/>
              </w:rPr>
              <w:t>建设</w:t>
            </w:r>
            <w:r>
              <w:rPr>
                <w:rFonts w:hint="default" w:ascii="Times New Roman" w:hAnsi="Times New Roman" w:cs="Times New Roman"/>
                <w:b w:val="0"/>
                <w:bCs w:val="0"/>
                <w:color w:val="auto"/>
                <w:spacing w:val="0"/>
                <w:kern w:val="2"/>
                <w:sz w:val="24"/>
                <w:szCs w:val="24"/>
                <w:vertAlign w:val="baseline"/>
                <w:lang w:val="en-US" w:eastAsia="zh-CN" w:bidi="ar-SA"/>
              </w:rPr>
              <w:t>陕甘川渝创新创业示范基地、</w:t>
            </w:r>
            <w:r>
              <w:rPr>
                <w:rFonts w:hint="default" w:ascii="Times New Roman" w:hAnsi="Times New Roman" w:eastAsia="仿宋_GB2312" w:cs="Times New Roman"/>
                <w:b w:val="0"/>
                <w:bCs w:val="0"/>
                <w:color w:val="auto"/>
                <w:spacing w:val="0"/>
                <w:kern w:val="2"/>
                <w:sz w:val="24"/>
                <w:szCs w:val="24"/>
                <w:vertAlign w:val="baseline"/>
                <w:lang w:val="en-US" w:eastAsia="zh-CN" w:bidi="ar-SA"/>
              </w:rPr>
              <w:t>宗营镇制造业技术人才培训及创新中心</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汉台区职业教育产教融合实训基地</w:t>
            </w:r>
            <w:r>
              <w:rPr>
                <w:rFonts w:hint="default" w:ascii="Times New Roman" w:hAnsi="Times New Roman" w:cs="Times New Roman"/>
                <w:b w:val="0"/>
                <w:bCs w:val="0"/>
                <w:color w:val="auto"/>
                <w:spacing w:val="0"/>
                <w:kern w:val="2"/>
                <w:sz w:val="24"/>
                <w:szCs w:val="24"/>
                <w:vertAlign w:val="baseline"/>
                <w:lang w:val="en-US" w:eastAsia="zh-CN" w:bidi="ar-SA"/>
              </w:rPr>
              <w:t>等项目</w:t>
            </w:r>
            <w:r>
              <w:rPr>
                <w:rFonts w:hint="default" w:ascii="Times New Roman" w:hAnsi="Times New Roman" w:eastAsia="仿宋_GB2312" w:cs="Times New Roman"/>
                <w:b w:val="0"/>
                <w:bCs w:val="0"/>
                <w:color w:val="auto"/>
                <w:spacing w:val="0"/>
                <w:kern w:val="2"/>
                <w:sz w:val="24"/>
                <w:szCs w:val="24"/>
                <w:vertAlign w:val="baseline"/>
                <w:lang w:val="en-US" w:eastAsia="zh-CN" w:bidi="ar-SA"/>
              </w:rPr>
              <w:t>。</w:t>
            </w:r>
          </w:p>
        </w:tc>
      </w:tr>
    </w:tbl>
    <w:p w14:paraId="447B29D2">
      <w:pPr>
        <w:rPr>
          <w:rFonts w:hint="default" w:ascii="Times New Roman" w:hAnsi="Times New Roman" w:cs="Times New Roman"/>
          <w:color w:val="auto"/>
          <w:lang w:val="en-US" w:eastAsia="zh-CN"/>
        </w:rPr>
        <w:sectPr>
          <w:pgSz w:w="11906" w:h="16838"/>
          <w:pgMar w:top="2098" w:right="1474" w:bottom="1984" w:left="1587" w:header="851" w:footer="1304" w:gutter="0"/>
          <w:paperSrc/>
          <w:pgBorders>
            <w:top w:val="none" w:sz="0" w:space="0"/>
            <w:left w:val="none" w:sz="0" w:space="0"/>
            <w:bottom w:val="none" w:sz="0" w:space="0"/>
            <w:right w:val="none" w:sz="0" w:space="0"/>
          </w:pgBorders>
          <w:pgNumType w:fmt="decimal"/>
          <w:cols w:space="720" w:num="1"/>
          <w:rtlGutter w:val="0"/>
          <w:docGrid w:type="linesAndChars" w:linePitch="579" w:charSpace="-842"/>
        </w:sectPr>
      </w:pPr>
      <w:bookmarkStart w:id="149" w:name="_Toc8686"/>
      <w:bookmarkStart w:id="150" w:name="_Toc32631"/>
    </w:p>
    <w:p w14:paraId="1769DA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rtl w:val="0"/>
          <w:lang w:val="en-US" w:eastAsia="zh-CN"/>
        </w:rPr>
      </w:pPr>
      <w:bookmarkStart w:id="151" w:name="_Toc24788"/>
      <w:r>
        <w:rPr>
          <w:rFonts w:hint="eastAsia" w:ascii="方正小标宋简体" w:hAnsi="方正小标宋简体" w:eastAsia="方正小标宋简体" w:cs="方正小标宋简体"/>
          <w:sz w:val="44"/>
          <w:szCs w:val="44"/>
          <w:lang w:val="en-US" w:eastAsia="zh-CN"/>
        </w:rPr>
        <w:t xml:space="preserve">第四章 </w:t>
      </w:r>
      <w:r>
        <w:rPr>
          <w:rFonts w:hint="eastAsia" w:ascii="方正小标宋简体" w:hAnsi="方正小标宋简体" w:eastAsia="方正小标宋简体" w:cs="方正小标宋简体"/>
          <w:sz w:val="44"/>
          <w:szCs w:val="44"/>
          <w:rtl w:val="0"/>
          <w:lang w:val="en-US" w:eastAsia="zh-CN"/>
        </w:rPr>
        <w:t xml:space="preserve"> 加快激发内需潜力，主动融入和</w:t>
      </w:r>
    </w:p>
    <w:p w14:paraId="387700E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rtl w:val="0"/>
          <w:lang w:val="en-US" w:eastAsia="zh-CN"/>
        </w:rPr>
      </w:pPr>
      <w:r>
        <w:rPr>
          <w:rFonts w:hint="eastAsia" w:ascii="方正小标宋简体" w:hAnsi="方正小标宋简体" w:eastAsia="方正小标宋简体" w:cs="方正小标宋简体"/>
          <w:sz w:val="44"/>
          <w:szCs w:val="44"/>
          <w:rtl w:val="0"/>
          <w:lang w:val="en-US" w:eastAsia="zh-CN"/>
        </w:rPr>
        <w:t>服务新发展格局</w:t>
      </w:r>
      <w:bookmarkEnd w:id="149"/>
      <w:bookmarkEnd w:id="151"/>
    </w:p>
    <w:bookmarkEnd w:id="150"/>
    <w:p w14:paraId="03CB85AE">
      <w:pPr>
        <w:keepNext w:val="0"/>
        <w:keepLines w:val="0"/>
        <w:pageBreakBefore w:val="0"/>
        <w:widowControl w:val="0"/>
        <w:kinsoku/>
        <w:wordWrap/>
        <w:overflowPunct/>
        <w:topLinePunct w:val="0"/>
        <w:autoSpaceDE/>
        <w:autoSpaceDN/>
        <w:bidi w:val="0"/>
        <w:adjustRightInd w:val="0"/>
        <w:snapToGrid w:val="0"/>
        <w:spacing w:line="576" w:lineRule="exact"/>
        <w:jc w:val="both"/>
        <w:textAlignment w:val="center"/>
        <w:rPr>
          <w:rFonts w:hint="default" w:ascii="Times New Roman" w:hAnsi="Times New Roman" w:eastAsia="仿宋_GB2312" w:cs="Times New Roman"/>
          <w:color w:val="auto"/>
          <w:spacing w:val="-6"/>
          <w:sz w:val="32"/>
          <w:szCs w:val="32"/>
          <w:lang w:val="en-US" w:eastAsia="zh-CN"/>
        </w:rPr>
      </w:pPr>
    </w:p>
    <w:p w14:paraId="319B4D36">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both"/>
        <w:textAlignment w:val="center"/>
        <w:rPr>
          <w:rFonts w:hint="default" w:ascii="Times New Roman" w:hAnsi="Times New Roman" w:eastAsia="仿宋_GB2312" w:cs="Times New Roman"/>
          <w:color w:val="auto"/>
          <w:spacing w:val="-6"/>
          <w:sz w:val="32"/>
          <w:szCs w:val="32"/>
          <w:lang w:val="en-US" w:eastAsia="zh-CN"/>
        </w:rPr>
      </w:pPr>
      <w:r>
        <w:rPr>
          <w:rFonts w:hint="default" w:ascii="Times New Roman" w:hAnsi="Times New Roman" w:eastAsia="仿宋_GB2312" w:cs="Times New Roman"/>
          <w:color w:val="auto"/>
          <w:spacing w:val="-6"/>
          <w:sz w:val="32"/>
          <w:szCs w:val="32"/>
          <w:lang w:val="en-US" w:eastAsia="zh-CN"/>
        </w:rPr>
        <w:t>坚持扩大内需这个战略基点，坚持惠民生和促消费、投资于物和投资于人紧密结合，以新需求引领新供给，以新供给创造新需求，促进消费和投资、供给和需求良性互动，夯实扩内需的基础支撑，确保经济稳定运行，增强发展主动性。</w:t>
      </w:r>
    </w:p>
    <w:p w14:paraId="720587FC">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CESI黑体-GB2312" w:hAnsi="CESI黑体-GB2312" w:eastAsia="CESI黑体-GB2312" w:cs="CESI黑体-GB2312"/>
          <w:lang w:val="en-US" w:eastAsia="zh-CN"/>
        </w:rPr>
      </w:pPr>
      <w:bookmarkStart w:id="152" w:name="_Toc318"/>
      <w:bookmarkStart w:id="153" w:name="_Toc25190"/>
      <w:bookmarkStart w:id="154" w:name="_Toc26588"/>
      <w:r>
        <w:rPr>
          <w:rFonts w:hint="eastAsia" w:ascii="CESI黑体-GB2312" w:hAnsi="CESI黑体-GB2312" w:eastAsia="CESI黑体-GB2312" w:cs="CESI黑体-GB2312"/>
          <w:lang w:val="en-US" w:eastAsia="zh-CN"/>
        </w:rPr>
        <w:t>第一节  大力提振消费</w:t>
      </w:r>
      <w:bookmarkEnd w:id="152"/>
      <w:bookmarkEnd w:id="153"/>
      <w:bookmarkEnd w:id="154"/>
    </w:p>
    <w:p w14:paraId="309B4BB8">
      <w:pPr>
        <w:keepNext w:val="0"/>
        <w:keepLines w:val="0"/>
        <w:pageBreakBefore w:val="0"/>
        <w:widowControl w:val="0"/>
        <w:suppressLineNumbers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稳步提升传统消费。</w:t>
      </w:r>
      <w:r>
        <w:rPr>
          <w:rFonts w:hint="default" w:ascii="Times New Roman" w:hAnsi="Times New Roman" w:eastAsia="仿宋_GB2312" w:cs="Times New Roman"/>
          <w:color w:val="auto"/>
          <w:sz w:val="32"/>
          <w:szCs w:val="32"/>
          <w:lang w:val="en-US" w:eastAsia="zh-CN"/>
        </w:rPr>
        <w:t>实施提振消费专项行动，持续推进消费品以旧换新，激发消费者的产品更新意愿。鼓励购买和使用新能源汽车，释放出行消费潜力。加强停车场、充电桩、换电站等配套设施建设，带动汽车及相关产品消费，完善汽车后市场服务。支持符合条件的家政服务企业创新服务模式、探索智慧化场景、拓展居家养老服务。</w:t>
      </w:r>
    </w:p>
    <w:p w14:paraId="02916FD6">
      <w:pPr>
        <w:keepNext w:val="0"/>
        <w:keepLines w:val="0"/>
        <w:pageBreakBefore w:val="0"/>
        <w:widowControl w:val="0"/>
        <w:suppressLineNumbers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培育发展首发经济。</w:t>
      </w:r>
      <w:r>
        <w:rPr>
          <w:rFonts w:hint="default" w:ascii="Times New Roman" w:hAnsi="Times New Roman" w:eastAsia="仿宋_GB2312" w:cs="Times New Roman"/>
          <w:color w:val="auto"/>
          <w:sz w:val="32"/>
          <w:szCs w:val="32"/>
          <w:lang w:val="en-US" w:eastAsia="zh-CN"/>
        </w:rPr>
        <w:t>聚焦地理标志产品、名特优产品、老字号、国货国潮等特色，推进品牌资源共享。依托商圈街区，支持开设消费品首店、旗舰店，鼓励汉商开设品牌概念店，举办首秀、首展活动，推进文创、动漫、潮服潮玩等首展首发。强化数智技术赋能，构建</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线上+线下</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产品首发矩阵。</w:t>
      </w:r>
    </w:p>
    <w:p w14:paraId="2E2BF71F">
      <w:pPr>
        <w:keepNext w:val="0"/>
        <w:keepLines w:val="0"/>
        <w:pageBreakBefore w:val="0"/>
        <w:widowControl w:val="0"/>
        <w:suppressLineNumbers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拓展文旅商融合消费。</w:t>
      </w:r>
      <w:r>
        <w:rPr>
          <w:rFonts w:hint="default" w:ascii="Times New Roman" w:hAnsi="Times New Roman" w:eastAsia="仿宋_GB2312" w:cs="Times New Roman"/>
          <w:b w:val="0"/>
          <w:bCs w:val="0"/>
          <w:color w:val="auto"/>
          <w:sz w:val="32"/>
          <w:szCs w:val="32"/>
          <w:lang w:val="en-US" w:eastAsia="zh-CN"/>
        </w:rPr>
        <w:t>培育汉台名品、陕西</w:t>
      </w:r>
      <w:r>
        <w:rPr>
          <w:rFonts w:hint="eastAsia"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老字号</w:t>
      </w:r>
      <w:r>
        <w:rPr>
          <w:rFonts w:hint="eastAsia"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国货潮品等消费热点，打造跨界融合产品消费新增长点。支持有条件的景区、博物馆等场所延长开放时间。举办文化和旅游消费促进活动，建设新型文旅消费集聚区，打造天汉长街、东关里、西郊记忆等特色文商旅街区。挖掘地方特色风味美食文化底蕴，拉动餐饮旅游消费。推动夜间文旅消费规范创新发展</w:t>
      </w:r>
      <w:r>
        <w:rPr>
          <w:rFonts w:hint="default" w:ascii="Times New Roman" w:hAnsi="Times New Roman"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以前进路夜市、饮马池小吃城、</w:t>
      </w:r>
      <w:r>
        <w:rPr>
          <w:rFonts w:hint="default" w:ascii="Times New Roman" w:hAnsi="Times New Roman" w:eastAsia="仿宋_GB2312" w:cs="Times New Roman"/>
          <w:b w:val="0"/>
          <w:bCs w:val="0"/>
          <w:color w:val="auto"/>
          <w:sz w:val="32"/>
          <w:szCs w:val="32"/>
          <w:rtl w:val="0"/>
          <w:lang w:val="en-US" w:eastAsia="zh-CN"/>
        </w:rPr>
        <w:t>银滩路美食街</w:t>
      </w:r>
      <w:r>
        <w:rPr>
          <w:rFonts w:hint="default" w:ascii="Times New Roman" w:hAnsi="Times New Roman" w:eastAsia="仿宋_GB2312" w:cs="Times New Roman"/>
          <w:b w:val="0"/>
          <w:bCs w:val="0"/>
          <w:color w:val="auto"/>
          <w:sz w:val="32"/>
          <w:szCs w:val="32"/>
          <w:lang w:val="en-US" w:eastAsia="zh-CN"/>
        </w:rPr>
        <w:t>等为重点，打造</w:t>
      </w:r>
      <w:r>
        <w:rPr>
          <w:rFonts w:hint="eastAsia"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美食+文化</w:t>
      </w:r>
      <w:r>
        <w:rPr>
          <w:rFonts w:hint="eastAsia"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的24小时不打烊夜间消费地标。</w:t>
      </w:r>
    </w:p>
    <w:p w14:paraId="24A7FB90">
      <w:pPr>
        <w:keepNext w:val="0"/>
        <w:keepLines w:val="0"/>
        <w:pageBreakBefore w:val="0"/>
        <w:widowControl w:val="0"/>
        <w:suppressLineNumbers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kern w:val="0"/>
          <w:sz w:val="32"/>
          <w:szCs w:val="32"/>
          <w:lang w:val="en-US" w:eastAsia="zh-CN" w:bidi="ar"/>
        </w:rPr>
      </w:pPr>
      <w:r>
        <w:rPr>
          <w:rFonts w:hint="default" w:ascii="Times New Roman" w:hAnsi="Times New Roman" w:eastAsia="楷体_GB2312" w:cs="Times New Roman"/>
          <w:b w:val="0"/>
          <w:bCs w:val="0"/>
          <w:color w:val="auto"/>
          <w:sz w:val="32"/>
          <w:szCs w:val="32"/>
          <w:lang w:val="en-US" w:eastAsia="zh-CN"/>
        </w:rPr>
        <w:t>拓展数字服务消费。</w:t>
      </w:r>
      <w:r>
        <w:rPr>
          <w:rFonts w:hint="default" w:ascii="Times New Roman" w:hAnsi="Times New Roman" w:cs="Times New Roman"/>
          <w:color w:val="auto"/>
          <w:kern w:val="0"/>
          <w:sz w:val="32"/>
          <w:szCs w:val="32"/>
          <w:lang w:val="en-US" w:eastAsia="zh-CN" w:bidi="ar"/>
        </w:rPr>
        <w:t>加快生活服务数字赋能，构建</w:t>
      </w:r>
      <w:r>
        <w:rPr>
          <w:rFonts w:hint="eastAsia" w:cs="Times New Roman"/>
          <w:color w:val="auto"/>
          <w:kern w:val="0"/>
          <w:sz w:val="32"/>
          <w:szCs w:val="32"/>
          <w:lang w:val="en-US" w:eastAsia="zh-CN" w:bidi="ar"/>
        </w:rPr>
        <w:t>“</w:t>
      </w:r>
      <w:r>
        <w:rPr>
          <w:rFonts w:hint="default" w:ascii="Times New Roman" w:hAnsi="Times New Roman" w:cs="Times New Roman"/>
          <w:color w:val="auto"/>
          <w:kern w:val="0"/>
          <w:sz w:val="32"/>
          <w:szCs w:val="32"/>
          <w:lang w:val="en-US" w:eastAsia="zh-CN" w:bidi="ar"/>
        </w:rPr>
        <w:t>智能商圈</w:t>
      </w:r>
      <w:r>
        <w:rPr>
          <w:rFonts w:hint="eastAsia" w:cs="Times New Roman"/>
          <w:color w:val="auto"/>
          <w:kern w:val="0"/>
          <w:sz w:val="32"/>
          <w:szCs w:val="32"/>
          <w:lang w:val="en-US" w:eastAsia="zh-CN" w:bidi="ar"/>
        </w:rPr>
        <w:t>”“</w:t>
      </w:r>
      <w:r>
        <w:rPr>
          <w:rFonts w:hint="default" w:ascii="Times New Roman" w:hAnsi="Times New Roman" w:cs="Times New Roman"/>
          <w:color w:val="auto"/>
          <w:kern w:val="0"/>
          <w:sz w:val="32"/>
          <w:szCs w:val="32"/>
          <w:lang w:val="en-US" w:eastAsia="zh-CN" w:bidi="ar"/>
        </w:rPr>
        <w:t>智慧街区</w:t>
      </w:r>
      <w:r>
        <w:rPr>
          <w:rFonts w:hint="eastAsia" w:cs="Times New Roman"/>
          <w:color w:val="auto"/>
          <w:kern w:val="0"/>
          <w:sz w:val="32"/>
          <w:szCs w:val="32"/>
          <w:lang w:val="en-US" w:eastAsia="zh-CN" w:bidi="ar"/>
        </w:rPr>
        <w:t>”“</w:t>
      </w:r>
      <w:r>
        <w:rPr>
          <w:rFonts w:hint="default" w:ascii="Times New Roman" w:hAnsi="Times New Roman" w:cs="Times New Roman"/>
          <w:color w:val="auto"/>
          <w:kern w:val="0"/>
          <w:sz w:val="32"/>
          <w:szCs w:val="32"/>
          <w:lang w:val="en-US" w:eastAsia="zh-CN" w:bidi="ar"/>
        </w:rPr>
        <w:t>智慧商店</w:t>
      </w:r>
      <w:r>
        <w:rPr>
          <w:rFonts w:hint="eastAsia" w:cs="Times New Roman"/>
          <w:color w:val="auto"/>
          <w:kern w:val="0"/>
          <w:sz w:val="32"/>
          <w:szCs w:val="32"/>
          <w:lang w:val="en-US" w:eastAsia="zh-CN" w:bidi="ar"/>
        </w:rPr>
        <w:t>”</w:t>
      </w:r>
      <w:r>
        <w:rPr>
          <w:rFonts w:hint="default" w:ascii="Times New Roman" w:hAnsi="Times New Roman" w:cs="Times New Roman"/>
          <w:color w:val="auto"/>
          <w:kern w:val="0"/>
          <w:sz w:val="32"/>
          <w:szCs w:val="32"/>
          <w:lang w:val="en-US" w:eastAsia="zh-CN" w:bidi="ar"/>
        </w:rPr>
        <w:t>等消费新场景，</w:t>
      </w:r>
      <w:r>
        <w:rPr>
          <w:rFonts w:hint="default" w:ascii="Times New Roman" w:hAnsi="Times New Roman" w:eastAsia="仿宋_GB2312" w:cs="Times New Roman"/>
          <w:color w:val="auto"/>
          <w:kern w:val="0"/>
          <w:sz w:val="32"/>
          <w:szCs w:val="32"/>
          <w:lang w:val="en-US" w:eastAsia="zh-CN" w:bidi="ar"/>
        </w:rPr>
        <w:t>创新发展</w:t>
      </w:r>
      <w:r>
        <w:rPr>
          <w:rFonts w:hint="eastAsia"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云逛街</w:t>
      </w:r>
      <w:r>
        <w:rPr>
          <w:rFonts w:hint="eastAsia"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云购物</w:t>
      </w:r>
      <w:r>
        <w:rPr>
          <w:rFonts w:hint="eastAsia"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、无人超市、无接触式配送等新零售模式</w:t>
      </w:r>
      <w:r>
        <w:rPr>
          <w:rFonts w:hint="default" w:ascii="Times New Roman" w:hAnsi="Times New Roman"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鼓励共享出行、餐饮外卖、在线购药等领域商业模式创新。培育在线医疗、在线教育、在线文娱、智慧旅游等新消费热点。</w:t>
      </w:r>
    </w:p>
    <w:p w14:paraId="3A6DBEC3">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pacing w:val="0"/>
          <w:w w:val="100"/>
          <w:kern w:val="0"/>
          <w:sz w:val="32"/>
          <w:szCs w:val="32"/>
          <w:shd w:val="clear" w:color="auto" w:fill="FFFFFF"/>
          <w:lang w:eastAsia="zh-CN"/>
        </w:rPr>
      </w:pPr>
      <w:r>
        <w:rPr>
          <w:rFonts w:hint="default" w:ascii="Times New Roman" w:hAnsi="Times New Roman" w:eastAsia="楷体_GB2312" w:cs="Times New Roman"/>
          <w:b w:val="0"/>
          <w:bCs w:val="0"/>
          <w:color w:val="auto"/>
          <w:sz w:val="32"/>
          <w:szCs w:val="32"/>
          <w:lang w:val="en-US" w:eastAsia="zh-CN"/>
        </w:rPr>
        <w:t>营造更优消费环境。</w:t>
      </w:r>
      <w:r>
        <w:rPr>
          <w:rFonts w:hint="default" w:ascii="Times New Roman" w:hAnsi="Times New Roman" w:eastAsia="仿宋_GB2312" w:cs="Times New Roman"/>
          <w:color w:val="auto"/>
          <w:spacing w:val="0"/>
          <w:w w:val="100"/>
          <w:kern w:val="0"/>
          <w:sz w:val="32"/>
          <w:szCs w:val="32"/>
          <w:shd w:val="clear" w:color="auto" w:fill="FFFFFF"/>
          <w:lang w:val="en-US" w:eastAsia="zh-CN"/>
        </w:rPr>
        <w:t>全面实施</w:t>
      </w:r>
      <w:r>
        <w:rPr>
          <w:rFonts w:hint="eastAsia" w:cs="Times New Roman"/>
          <w:color w:val="auto"/>
          <w:spacing w:val="0"/>
          <w:w w:val="100"/>
          <w:kern w:val="0"/>
          <w:sz w:val="32"/>
          <w:szCs w:val="32"/>
          <w:shd w:val="clear" w:color="auto" w:fill="FFFFFF"/>
          <w:lang w:val="en-US" w:eastAsia="zh-CN"/>
        </w:rPr>
        <w:t>“</w:t>
      </w:r>
      <w:r>
        <w:rPr>
          <w:rFonts w:hint="default" w:ascii="Times New Roman" w:hAnsi="Times New Roman" w:eastAsia="仿宋_GB2312" w:cs="Times New Roman"/>
          <w:color w:val="auto"/>
          <w:spacing w:val="0"/>
          <w:w w:val="100"/>
          <w:kern w:val="0"/>
          <w:sz w:val="32"/>
          <w:szCs w:val="32"/>
          <w:shd w:val="clear" w:color="auto" w:fill="FFFFFF"/>
          <w:lang w:val="en-US" w:eastAsia="zh-CN"/>
        </w:rPr>
        <w:t>放心消费行动</w:t>
      </w:r>
      <w:r>
        <w:rPr>
          <w:rFonts w:hint="eastAsia" w:cs="Times New Roman"/>
          <w:color w:val="auto"/>
          <w:spacing w:val="0"/>
          <w:w w:val="100"/>
          <w:kern w:val="0"/>
          <w:sz w:val="32"/>
          <w:szCs w:val="32"/>
          <w:shd w:val="clear" w:color="auto" w:fill="FFFFFF"/>
          <w:lang w:val="en-US" w:eastAsia="zh-CN"/>
        </w:rPr>
        <w:t>”</w:t>
      </w:r>
      <w:r>
        <w:rPr>
          <w:rFonts w:hint="default" w:ascii="Times New Roman" w:hAnsi="Times New Roman" w:eastAsia="仿宋_GB2312" w:cs="Times New Roman"/>
          <w:color w:val="auto"/>
          <w:spacing w:val="0"/>
          <w:w w:val="100"/>
          <w:kern w:val="0"/>
          <w:sz w:val="32"/>
          <w:szCs w:val="32"/>
          <w:shd w:val="clear" w:color="auto" w:fill="FFFFFF"/>
          <w:lang w:val="en-US" w:eastAsia="zh-CN"/>
        </w:rPr>
        <w:t>，打造一批放心市场、放心商店、放心网店、放心餐饮、放心景区。规范消费市场秩序，鼓励社区、商场、景点、平台企业设立消费维权服务站</w:t>
      </w:r>
      <w:r>
        <w:rPr>
          <w:rFonts w:hint="default" w:ascii="Times New Roman" w:hAnsi="Times New Roman" w:cs="Times New Roman"/>
          <w:color w:val="auto"/>
          <w:spacing w:val="0"/>
          <w:w w:val="100"/>
          <w:kern w:val="0"/>
          <w:sz w:val="32"/>
          <w:szCs w:val="32"/>
          <w:shd w:val="clear" w:color="auto" w:fill="FFFFFF"/>
          <w:lang w:val="en-US" w:eastAsia="zh-CN"/>
        </w:rPr>
        <w:t>，鼓励</w:t>
      </w:r>
      <w:r>
        <w:rPr>
          <w:rFonts w:hint="eastAsia" w:cs="Times New Roman"/>
          <w:color w:val="auto"/>
          <w:spacing w:val="0"/>
          <w:w w:val="100"/>
          <w:kern w:val="0"/>
          <w:sz w:val="32"/>
          <w:szCs w:val="32"/>
          <w:shd w:val="clear" w:color="auto" w:fill="FFFFFF"/>
          <w:lang w:eastAsia="zh-CN"/>
        </w:rPr>
        <w:t>“</w:t>
      </w:r>
      <w:r>
        <w:rPr>
          <w:rFonts w:hint="default" w:ascii="Times New Roman" w:hAnsi="Times New Roman" w:eastAsia="仿宋_GB2312" w:cs="Times New Roman"/>
          <w:color w:val="auto"/>
          <w:spacing w:val="0"/>
          <w:w w:val="100"/>
          <w:kern w:val="0"/>
          <w:sz w:val="32"/>
          <w:szCs w:val="32"/>
          <w:shd w:val="clear" w:color="auto" w:fill="FFFFFF"/>
          <w:lang w:eastAsia="zh-CN"/>
        </w:rPr>
        <w:t>互联网+消费维权</w:t>
      </w:r>
      <w:r>
        <w:rPr>
          <w:rFonts w:hint="eastAsia" w:cs="Times New Roman"/>
          <w:color w:val="auto"/>
          <w:spacing w:val="0"/>
          <w:w w:val="100"/>
          <w:kern w:val="0"/>
          <w:sz w:val="32"/>
          <w:szCs w:val="32"/>
          <w:shd w:val="clear" w:color="auto" w:fill="FFFFFF"/>
          <w:lang w:eastAsia="zh-CN"/>
        </w:rPr>
        <w:t>”</w:t>
      </w:r>
      <w:r>
        <w:rPr>
          <w:rFonts w:hint="default" w:ascii="Times New Roman" w:hAnsi="Times New Roman" w:eastAsia="仿宋_GB2312" w:cs="Times New Roman"/>
          <w:color w:val="auto"/>
          <w:spacing w:val="0"/>
          <w:w w:val="100"/>
          <w:kern w:val="0"/>
          <w:sz w:val="32"/>
          <w:szCs w:val="32"/>
          <w:shd w:val="clear" w:color="auto" w:fill="FFFFFF"/>
          <w:lang w:eastAsia="zh-CN"/>
        </w:rPr>
        <w:t>模式，</w:t>
      </w:r>
      <w:r>
        <w:rPr>
          <w:rFonts w:hint="default" w:ascii="Times New Roman" w:hAnsi="Times New Roman" w:eastAsia="仿宋_GB2312" w:cs="Times New Roman"/>
          <w:color w:val="auto"/>
          <w:spacing w:val="0"/>
          <w:w w:val="100"/>
          <w:kern w:val="0"/>
          <w:sz w:val="32"/>
          <w:szCs w:val="32"/>
          <w:shd w:val="clear" w:color="auto" w:fill="FFFFFF"/>
          <w:lang w:val="en-US" w:eastAsia="zh-CN"/>
        </w:rPr>
        <w:t>探索</w:t>
      </w:r>
      <w:r>
        <w:rPr>
          <w:rFonts w:hint="eastAsia" w:cs="Times New Roman"/>
          <w:color w:val="auto"/>
          <w:spacing w:val="0"/>
          <w:w w:val="100"/>
          <w:kern w:val="0"/>
          <w:sz w:val="32"/>
          <w:szCs w:val="32"/>
          <w:shd w:val="clear" w:color="auto" w:fill="FFFFFF"/>
          <w:lang w:val="en-US" w:eastAsia="zh-CN"/>
        </w:rPr>
        <w:t>“</w:t>
      </w:r>
      <w:r>
        <w:rPr>
          <w:rFonts w:hint="default" w:ascii="Times New Roman" w:hAnsi="Times New Roman" w:eastAsia="仿宋_GB2312" w:cs="Times New Roman"/>
          <w:color w:val="auto"/>
          <w:spacing w:val="0"/>
          <w:w w:val="100"/>
          <w:kern w:val="0"/>
          <w:sz w:val="32"/>
          <w:szCs w:val="32"/>
          <w:shd w:val="clear" w:color="auto" w:fill="FFFFFF"/>
          <w:lang w:val="en-US" w:eastAsia="zh-CN"/>
        </w:rPr>
        <w:t>信用监管+消费维权</w:t>
      </w:r>
      <w:r>
        <w:rPr>
          <w:rFonts w:hint="eastAsia" w:cs="Times New Roman"/>
          <w:color w:val="auto"/>
          <w:spacing w:val="0"/>
          <w:w w:val="100"/>
          <w:kern w:val="0"/>
          <w:sz w:val="32"/>
          <w:szCs w:val="32"/>
          <w:shd w:val="clear" w:color="auto" w:fill="FFFFFF"/>
          <w:lang w:val="en-US" w:eastAsia="zh-CN"/>
        </w:rPr>
        <w:t>”“</w:t>
      </w:r>
      <w:r>
        <w:rPr>
          <w:rFonts w:hint="default" w:ascii="Times New Roman" w:hAnsi="Times New Roman" w:eastAsia="仿宋_GB2312" w:cs="Times New Roman"/>
          <w:color w:val="auto"/>
          <w:spacing w:val="0"/>
          <w:w w:val="100"/>
          <w:kern w:val="0"/>
          <w:sz w:val="32"/>
          <w:szCs w:val="32"/>
          <w:shd w:val="clear" w:color="auto" w:fill="FFFFFF"/>
          <w:lang w:val="en-US" w:eastAsia="zh-CN"/>
        </w:rPr>
        <w:t>绿色消费+场景创新</w:t>
      </w:r>
      <w:r>
        <w:rPr>
          <w:rFonts w:hint="eastAsia" w:cs="Times New Roman"/>
          <w:color w:val="auto"/>
          <w:spacing w:val="0"/>
          <w:w w:val="100"/>
          <w:kern w:val="0"/>
          <w:sz w:val="32"/>
          <w:szCs w:val="32"/>
          <w:shd w:val="clear" w:color="auto" w:fill="FFFFFF"/>
          <w:lang w:val="en-US" w:eastAsia="zh-CN"/>
        </w:rPr>
        <w:t>”</w:t>
      </w:r>
      <w:r>
        <w:rPr>
          <w:rFonts w:hint="default" w:ascii="Times New Roman" w:hAnsi="Times New Roman" w:eastAsia="仿宋_GB2312" w:cs="Times New Roman"/>
          <w:color w:val="auto"/>
          <w:spacing w:val="0"/>
          <w:w w:val="100"/>
          <w:kern w:val="0"/>
          <w:sz w:val="32"/>
          <w:szCs w:val="32"/>
          <w:shd w:val="clear" w:color="auto" w:fill="FFFFFF"/>
          <w:lang w:val="en-US" w:eastAsia="zh-CN"/>
        </w:rPr>
        <w:t>等消费新模式。持续开展</w:t>
      </w:r>
      <w:r>
        <w:rPr>
          <w:rFonts w:hint="eastAsia" w:cs="Times New Roman"/>
          <w:color w:val="auto"/>
          <w:spacing w:val="0"/>
          <w:w w:val="100"/>
          <w:kern w:val="0"/>
          <w:sz w:val="32"/>
          <w:szCs w:val="32"/>
          <w:shd w:val="clear" w:color="auto" w:fill="FFFFFF"/>
          <w:lang w:val="en-US" w:eastAsia="zh-CN"/>
        </w:rPr>
        <w:t>“</w:t>
      </w:r>
      <w:r>
        <w:rPr>
          <w:rFonts w:hint="default" w:ascii="Times New Roman" w:hAnsi="Times New Roman" w:eastAsia="仿宋_GB2312" w:cs="Times New Roman"/>
          <w:color w:val="auto"/>
          <w:spacing w:val="0"/>
          <w:w w:val="100"/>
          <w:kern w:val="0"/>
          <w:sz w:val="32"/>
          <w:szCs w:val="32"/>
          <w:shd w:val="clear" w:color="auto" w:fill="FFFFFF"/>
          <w:lang w:val="en-US" w:eastAsia="zh-CN"/>
        </w:rPr>
        <w:t>树诚信新风做文明商户</w:t>
      </w:r>
      <w:r>
        <w:rPr>
          <w:rFonts w:hint="eastAsia" w:cs="Times New Roman"/>
          <w:color w:val="auto"/>
          <w:spacing w:val="0"/>
          <w:w w:val="100"/>
          <w:kern w:val="0"/>
          <w:sz w:val="32"/>
          <w:szCs w:val="32"/>
          <w:shd w:val="clear" w:color="auto" w:fill="FFFFFF"/>
          <w:lang w:val="en-US" w:eastAsia="zh-CN"/>
        </w:rPr>
        <w:t>”</w:t>
      </w:r>
      <w:r>
        <w:rPr>
          <w:rFonts w:hint="default" w:ascii="Times New Roman" w:hAnsi="Times New Roman" w:eastAsia="仿宋_GB2312" w:cs="Times New Roman"/>
          <w:color w:val="auto"/>
          <w:spacing w:val="0"/>
          <w:w w:val="100"/>
          <w:kern w:val="0"/>
          <w:sz w:val="32"/>
          <w:szCs w:val="32"/>
          <w:shd w:val="clear" w:color="auto" w:fill="FFFFFF"/>
          <w:lang w:val="en-US" w:eastAsia="zh-CN"/>
        </w:rPr>
        <w:t>系列活动，深入实施诚信经营</w:t>
      </w:r>
      <w:r>
        <w:rPr>
          <w:rFonts w:hint="eastAsia" w:cs="Times New Roman"/>
          <w:color w:val="auto"/>
          <w:spacing w:val="0"/>
          <w:w w:val="100"/>
          <w:kern w:val="0"/>
          <w:sz w:val="32"/>
          <w:szCs w:val="32"/>
          <w:shd w:val="clear" w:color="auto" w:fill="FFFFFF"/>
          <w:lang w:val="en-US" w:eastAsia="zh-CN"/>
        </w:rPr>
        <w:t>“</w:t>
      </w:r>
      <w:r>
        <w:rPr>
          <w:rFonts w:hint="default" w:ascii="Times New Roman" w:hAnsi="Times New Roman" w:eastAsia="仿宋_GB2312" w:cs="Times New Roman"/>
          <w:color w:val="auto"/>
          <w:spacing w:val="0"/>
          <w:w w:val="100"/>
          <w:kern w:val="0"/>
          <w:sz w:val="32"/>
          <w:szCs w:val="32"/>
          <w:shd w:val="clear" w:color="auto" w:fill="FFFFFF"/>
          <w:lang w:val="en-US" w:eastAsia="zh-CN"/>
        </w:rPr>
        <w:t>红黑榜</w:t>
      </w:r>
      <w:r>
        <w:rPr>
          <w:rFonts w:hint="eastAsia" w:cs="Times New Roman"/>
          <w:color w:val="auto"/>
          <w:spacing w:val="0"/>
          <w:w w:val="100"/>
          <w:kern w:val="0"/>
          <w:sz w:val="32"/>
          <w:szCs w:val="32"/>
          <w:shd w:val="clear" w:color="auto" w:fill="FFFFFF"/>
          <w:lang w:val="en-US" w:eastAsia="zh-CN"/>
        </w:rPr>
        <w:t>”</w:t>
      </w:r>
      <w:r>
        <w:rPr>
          <w:rFonts w:hint="default" w:ascii="Times New Roman" w:hAnsi="Times New Roman" w:eastAsia="仿宋_GB2312" w:cs="Times New Roman"/>
          <w:color w:val="auto"/>
          <w:spacing w:val="0"/>
          <w:w w:val="100"/>
          <w:kern w:val="0"/>
          <w:sz w:val="32"/>
          <w:szCs w:val="32"/>
          <w:shd w:val="clear" w:color="auto" w:fill="FFFFFF"/>
          <w:lang w:val="en-US" w:eastAsia="zh-CN"/>
        </w:rPr>
        <w:t>机制，推动形成守信受益、失信受限的市场环境。引导</w:t>
      </w:r>
      <w:r>
        <w:rPr>
          <w:rFonts w:hint="default" w:ascii="Times New Roman" w:hAnsi="Times New Roman" w:cs="Times New Roman"/>
          <w:color w:val="auto"/>
          <w:spacing w:val="0"/>
          <w:w w:val="100"/>
          <w:kern w:val="0"/>
          <w:sz w:val="32"/>
          <w:szCs w:val="32"/>
          <w:shd w:val="clear" w:color="auto" w:fill="FFFFFF"/>
          <w:lang w:val="en-US" w:eastAsia="zh-CN"/>
        </w:rPr>
        <w:t>经营</w:t>
      </w:r>
      <w:r>
        <w:rPr>
          <w:rFonts w:hint="default" w:ascii="Times New Roman" w:hAnsi="Times New Roman" w:eastAsia="仿宋_GB2312" w:cs="Times New Roman"/>
          <w:color w:val="auto"/>
          <w:spacing w:val="0"/>
          <w:w w:val="100"/>
          <w:kern w:val="0"/>
          <w:sz w:val="32"/>
          <w:szCs w:val="32"/>
          <w:shd w:val="clear" w:color="auto" w:fill="FFFFFF"/>
          <w:lang w:val="en-US" w:eastAsia="zh-CN"/>
        </w:rPr>
        <w:t>主体引入现代经营理念与良性竞争机制，</w:t>
      </w:r>
      <w:r>
        <w:rPr>
          <w:rFonts w:hint="default" w:ascii="Times New Roman" w:hAnsi="Times New Roman" w:cs="Times New Roman"/>
          <w:color w:val="auto"/>
          <w:spacing w:val="0"/>
          <w:w w:val="100"/>
          <w:kern w:val="0"/>
          <w:sz w:val="32"/>
          <w:szCs w:val="32"/>
          <w:shd w:val="clear" w:color="auto" w:fill="FFFFFF"/>
          <w:lang w:val="en-US" w:eastAsia="zh-CN"/>
        </w:rPr>
        <w:t>加强</w:t>
      </w:r>
      <w:r>
        <w:rPr>
          <w:rFonts w:hint="default" w:ascii="Times New Roman" w:hAnsi="Times New Roman" w:eastAsia="仿宋_GB2312" w:cs="Times New Roman"/>
          <w:color w:val="auto"/>
          <w:spacing w:val="0"/>
          <w:w w:val="100"/>
          <w:kern w:val="0"/>
          <w:sz w:val="32"/>
          <w:szCs w:val="32"/>
          <w:shd w:val="clear" w:color="auto" w:fill="FFFFFF"/>
          <w:lang w:val="en-US" w:eastAsia="zh-CN"/>
        </w:rPr>
        <w:t>系统化培训与人才队伍建设，全面提升服务素养与专业能力。优化政务服务质效，</w:t>
      </w:r>
      <w:r>
        <w:rPr>
          <w:rFonts w:hint="default" w:ascii="Times New Roman" w:hAnsi="Times New Roman" w:eastAsia="仿宋_GB2312" w:cs="Times New Roman"/>
          <w:color w:val="auto"/>
          <w:spacing w:val="0"/>
          <w:w w:val="100"/>
          <w:kern w:val="0"/>
          <w:sz w:val="32"/>
          <w:szCs w:val="32"/>
          <w:shd w:val="clear" w:color="auto" w:fill="FFFFFF"/>
          <w:lang w:eastAsia="zh-CN"/>
        </w:rPr>
        <w:t>实行一站式服务，为企业提供便捷、高效服务。</w:t>
      </w:r>
    </w:p>
    <w:tbl>
      <w:tblPr>
        <w:tblStyle w:val="15"/>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8"/>
      </w:tblGrid>
      <w:tr w14:paraId="3C13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noWrap w:val="0"/>
            <w:vAlign w:val="top"/>
          </w:tcPr>
          <w:p w14:paraId="39A099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专栏4-1  提振消费行动重点工程</w:t>
            </w:r>
          </w:p>
        </w:tc>
      </w:tr>
      <w:tr w14:paraId="105D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noWrap w:val="0"/>
            <w:vAlign w:val="top"/>
          </w:tcPr>
          <w:p w14:paraId="044AA365">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消费品以旧换新</w:t>
            </w:r>
            <w:r>
              <w:rPr>
                <w:rFonts w:hint="default" w:ascii="Times New Roman" w:hAnsi="Times New Roman" w:cs="Times New Roman"/>
                <w:b/>
                <w:bCs/>
                <w:color w:val="auto"/>
                <w:spacing w:val="0"/>
                <w:kern w:val="2"/>
                <w:sz w:val="24"/>
                <w:szCs w:val="24"/>
                <w:vertAlign w:val="baseline"/>
                <w:lang w:val="en-US" w:eastAsia="zh-CN" w:bidi="ar-SA"/>
              </w:rPr>
              <w:t>工程。</w:t>
            </w:r>
            <w:r>
              <w:rPr>
                <w:rFonts w:hint="default" w:ascii="Times New Roman" w:hAnsi="Times New Roman" w:cs="Times New Roman"/>
                <w:b w:val="0"/>
                <w:bCs w:val="0"/>
                <w:color w:val="auto"/>
                <w:spacing w:val="0"/>
                <w:kern w:val="2"/>
                <w:sz w:val="24"/>
                <w:szCs w:val="24"/>
                <w:vertAlign w:val="baseline"/>
                <w:lang w:val="en-US" w:eastAsia="zh-CN" w:bidi="ar-SA"/>
              </w:rPr>
              <w:t>落实消费品以旧换新政策，</w:t>
            </w:r>
            <w:r>
              <w:rPr>
                <w:rFonts w:hint="default" w:ascii="Times New Roman" w:hAnsi="Times New Roman" w:eastAsia="仿宋_GB2312" w:cs="Times New Roman"/>
                <w:b w:val="0"/>
                <w:bCs w:val="0"/>
                <w:color w:val="auto"/>
                <w:spacing w:val="0"/>
                <w:kern w:val="2"/>
                <w:sz w:val="24"/>
                <w:szCs w:val="24"/>
                <w:vertAlign w:val="baseline"/>
                <w:lang w:val="en-US" w:eastAsia="zh-CN" w:bidi="ar-SA"/>
              </w:rPr>
              <w:t>加力扩围实施汽车报废更新支持、汽车置换更新补贴、家电产品以旧换新、数码产品购新补贴、家装消费品焕新、电动自行车以旧换新等工程。拓展汽车改装、租赁、赛事及房车露营等汽车后市场消费。</w:t>
            </w:r>
          </w:p>
          <w:p w14:paraId="0D0E18FA">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拓展新型消费工程。</w:t>
            </w:r>
            <w:r>
              <w:rPr>
                <w:rFonts w:hint="default" w:ascii="Times New Roman" w:hAnsi="Times New Roman" w:cs="Times New Roman"/>
                <w:b w:val="0"/>
                <w:bCs w:val="0"/>
                <w:color w:val="auto"/>
                <w:spacing w:val="0"/>
                <w:kern w:val="2"/>
                <w:sz w:val="24"/>
                <w:szCs w:val="24"/>
                <w:vertAlign w:val="baseline"/>
                <w:lang w:val="en-US" w:eastAsia="zh-CN" w:bidi="ar-SA"/>
              </w:rPr>
              <w:t>培育汉台名品、陕西</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老字号</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、国货</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潮品</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等消费热点，打造前进路夜市、饮马池小吃城、</w:t>
            </w:r>
            <w:r>
              <w:rPr>
                <w:rFonts w:hint="default" w:ascii="Times New Roman" w:hAnsi="Times New Roman" w:cs="Times New Roman"/>
                <w:b w:val="0"/>
                <w:bCs w:val="0"/>
                <w:color w:val="auto"/>
                <w:spacing w:val="0"/>
                <w:kern w:val="2"/>
                <w:sz w:val="24"/>
                <w:szCs w:val="24"/>
                <w:vertAlign w:val="baseline"/>
                <w:rtl w:val="0"/>
                <w:lang w:val="en-US" w:eastAsia="zh-CN" w:bidi="ar-SA"/>
              </w:rPr>
              <w:t>银滩路美食街</w:t>
            </w:r>
            <w:r>
              <w:rPr>
                <w:rFonts w:hint="default" w:ascii="Times New Roman" w:hAnsi="Times New Roman" w:cs="Times New Roman"/>
                <w:b w:val="0"/>
                <w:bCs w:val="0"/>
                <w:color w:val="auto"/>
                <w:spacing w:val="0"/>
                <w:kern w:val="2"/>
                <w:sz w:val="24"/>
                <w:szCs w:val="24"/>
                <w:vertAlign w:val="baseline"/>
                <w:lang w:val="en-US" w:eastAsia="zh-CN" w:bidi="ar-SA"/>
              </w:rPr>
              <w:t>等</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美食+文化</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的24小时不打烊夜间消费地标，培育发展首发经济、银发经济、数字服务消费等新业态，鼓励共享出行、餐饮外卖、在线购药等领域商业模式创新。</w:t>
            </w:r>
          </w:p>
          <w:p w14:paraId="314A193F">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强化消费能力保障工程。</w:t>
            </w:r>
            <w:r>
              <w:rPr>
                <w:rFonts w:hint="default" w:ascii="Times New Roman" w:hAnsi="Times New Roman" w:cs="Times New Roman"/>
                <w:b w:val="0"/>
                <w:bCs w:val="0"/>
                <w:color w:val="auto"/>
                <w:spacing w:val="0"/>
                <w:kern w:val="2"/>
                <w:sz w:val="24"/>
                <w:szCs w:val="24"/>
                <w:vertAlign w:val="baseline"/>
                <w:lang w:val="en-US" w:eastAsia="zh-CN" w:bidi="ar-SA"/>
              </w:rPr>
              <w:t>加大生育养育保障力度，扩大外来学龄人口的教育资源供给。提高医疗养老保障能力。向符合条件的失业人员及时足额发放失业保险金。提高教育、医疗、养老、育幼等公共服务支出效率。</w:t>
            </w:r>
          </w:p>
          <w:p w14:paraId="1B7ACA77">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default" w:ascii="Times New Roman" w:hAnsi="Times New Roman" w:eastAsia="宋体" w:cs="Times New Roman"/>
                <w:b/>
                <w:bCs/>
                <w:color w:val="auto"/>
                <w:spacing w:val="0"/>
                <w:kern w:val="2"/>
                <w:sz w:val="24"/>
                <w:szCs w:val="24"/>
                <w:vertAlign w:val="baseline"/>
                <w:lang w:val="en-US" w:eastAsia="zh-CN" w:bidi="ar-SA"/>
              </w:rPr>
            </w:pPr>
            <w:r>
              <w:rPr>
                <w:rFonts w:hint="eastAsia" w:cs="Times New Roman"/>
                <w:b/>
                <w:bCs/>
                <w:color w:val="auto"/>
                <w:spacing w:val="0"/>
                <w:kern w:val="2"/>
                <w:sz w:val="24"/>
                <w:szCs w:val="24"/>
                <w:vertAlign w:val="baseline"/>
                <w:lang w:val="en-US" w:eastAsia="zh-CN" w:bidi="ar-SA"/>
              </w:rPr>
              <w:t>“</w:t>
            </w:r>
            <w:r>
              <w:rPr>
                <w:rFonts w:hint="default" w:ascii="Times New Roman" w:hAnsi="Times New Roman" w:cs="Times New Roman"/>
                <w:b/>
                <w:bCs/>
                <w:color w:val="auto"/>
                <w:spacing w:val="0"/>
                <w:kern w:val="2"/>
                <w:sz w:val="24"/>
                <w:szCs w:val="24"/>
                <w:vertAlign w:val="baseline"/>
                <w:lang w:val="en-US" w:eastAsia="zh-CN" w:bidi="ar-SA"/>
              </w:rPr>
              <w:t>放心消费行动</w:t>
            </w:r>
            <w:r>
              <w:rPr>
                <w:rFonts w:hint="eastAsia" w:cs="Times New Roman"/>
                <w:b/>
                <w:bCs/>
                <w:color w:val="auto"/>
                <w:spacing w:val="0"/>
                <w:kern w:val="2"/>
                <w:sz w:val="24"/>
                <w:szCs w:val="24"/>
                <w:vertAlign w:val="baseline"/>
                <w:lang w:val="en-US" w:eastAsia="zh-CN" w:bidi="ar-SA"/>
              </w:rPr>
              <w:t>”</w:t>
            </w:r>
            <w:r>
              <w:rPr>
                <w:rFonts w:hint="default" w:ascii="Times New Roman" w:hAnsi="Times New Roman" w:cs="Times New Roman"/>
                <w:b/>
                <w:bCs/>
                <w:color w:val="auto"/>
                <w:spacing w:val="0"/>
                <w:kern w:val="2"/>
                <w:sz w:val="24"/>
                <w:szCs w:val="24"/>
                <w:vertAlign w:val="baseline"/>
                <w:lang w:val="en-US" w:eastAsia="zh-CN" w:bidi="ar-SA"/>
              </w:rPr>
              <w:t>工程。</w:t>
            </w:r>
            <w:r>
              <w:rPr>
                <w:rFonts w:hint="default" w:ascii="Times New Roman" w:hAnsi="Times New Roman" w:cs="Times New Roman"/>
                <w:b w:val="0"/>
                <w:bCs w:val="0"/>
                <w:color w:val="auto"/>
                <w:spacing w:val="0"/>
                <w:kern w:val="2"/>
                <w:sz w:val="24"/>
                <w:szCs w:val="24"/>
                <w:vertAlign w:val="baseline"/>
                <w:lang w:val="en-US" w:eastAsia="zh-CN" w:bidi="ar-SA"/>
              </w:rPr>
              <w:t>开展</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树诚信新风做文明商户</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系列活动，打造一批放心市场、放心商店、放心网店、放心餐饮、放心景区。探索</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信用监管+消费维权</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绿色消费+场景创新</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等消费新模式。</w:t>
            </w:r>
          </w:p>
        </w:tc>
      </w:tr>
    </w:tbl>
    <w:p w14:paraId="3A52F88F">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CESI黑体-GB2312" w:hAnsi="CESI黑体-GB2312" w:eastAsia="CESI黑体-GB2312" w:cs="CESI黑体-GB2312"/>
          <w:lang w:val="en-US" w:eastAsia="zh-CN"/>
        </w:rPr>
      </w:pPr>
      <w:bookmarkStart w:id="155" w:name="_Toc20900"/>
      <w:bookmarkStart w:id="156" w:name="_Toc8723"/>
      <w:bookmarkStart w:id="157" w:name="_Toc18177"/>
      <w:r>
        <w:rPr>
          <w:rFonts w:hint="eastAsia" w:ascii="CESI黑体-GB2312" w:hAnsi="CESI黑体-GB2312" w:eastAsia="CESI黑体-GB2312" w:cs="CESI黑体-GB2312"/>
          <w:lang w:val="en-US" w:eastAsia="zh-CN"/>
        </w:rPr>
        <w:t>第二节  扩大有效投资</w:t>
      </w:r>
      <w:bookmarkEnd w:id="155"/>
      <w:bookmarkEnd w:id="156"/>
      <w:bookmarkEnd w:id="157"/>
    </w:p>
    <w:p w14:paraId="7CE8EA95">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b w:val="0"/>
          <w:bCs w:val="0"/>
          <w:color w:val="auto"/>
        </w:rPr>
      </w:pPr>
      <w:r>
        <w:rPr>
          <w:rFonts w:hint="default" w:ascii="Times New Roman" w:hAnsi="Times New Roman" w:eastAsia="楷体_GB2312" w:cs="Times New Roman"/>
          <w:b w:val="0"/>
          <w:bCs w:val="0"/>
          <w:color w:val="auto"/>
          <w:sz w:val="32"/>
          <w:szCs w:val="32"/>
          <w:lang w:val="en-US" w:eastAsia="zh-CN"/>
        </w:rPr>
        <w:t>谋划储备重大项目。</w:t>
      </w:r>
      <w:r>
        <w:rPr>
          <w:rFonts w:hint="default" w:ascii="Times New Roman" w:hAnsi="Times New Roman" w:eastAsia="仿宋_GB2312" w:cs="Times New Roman"/>
          <w:b w:val="0"/>
          <w:bCs w:val="0"/>
          <w:color w:val="auto"/>
        </w:rPr>
        <w:t>积极争取中央预算内投资</w:t>
      </w:r>
      <w:r>
        <w:rPr>
          <w:rFonts w:hint="default" w:ascii="Times New Roman" w:hAnsi="Times New Roman" w:cs="Times New Roman"/>
          <w:b w:val="0"/>
          <w:bCs w:val="0"/>
          <w:color w:val="auto"/>
          <w:lang w:eastAsia="zh-CN"/>
        </w:rPr>
        <w:t>、</w:t>
      </w:r>
      <w:r>
        <w:rPr>
          <w:rFonts w:hint="default" w:ascii="Times New Roman" w:hAnsi="Times New Roman" w:eastAsia="仿宋_GB2312" w:cs="Times New Roman"/>
          <w:b w:val="0"/>
          <w:bCs w:val="0"/>
          <w:color w:val="auto"/>
        </w:rPr>
        <w:t>超长期特别国债</w:t>
      </w:r>
      <w:r>
        <w:rPr>
          <w:rFonts w:hint="default" w:ascii="Times New Roman" w:hAnsi="Times New Roman" w:cs="Times New Roman"/>
          <w:b w:val="0"/>
          <w:bCs w:val="0"/>
          <w:color w:val="auto"/>
          <w:lang w:val="en-US" w:eastAsia="zh-CN"/>
        </w:rPr>
        <w:t>等</w:t>
      </w:r>
      <w:r>
        <w:rPr>
          <w:rFonts w:hint="default" w:ascii="Times New Roman" w:hAnsi="Times New Roman" w:eastAsia="仿宋_GB2312" w:cs="Times New Roman"/>
          <w:b w:val="0"/>
          <w:bCs w:val="0"/>
          <w:color w:val="auto"/>
        </w:rPr>
        <w:t>中省专项资金支持，谋划和实施一批重大基础设施、城乡融合、生态建设、公共服务、乡村振兴等领域项目</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推动中心城区能级提升</w:t>
      </w:r>
      <w:r>
        <w:rPr>
          <w:rFonts w:hint="default" w:ascii="Times New Roman" w:hAnsi="Times New Roman" w:eastAsia="仿宋_GB2312" w:cs="Times New Roman"/>
          <w:b w:val="0"/>
          <w:bCs w:val="0"/>
          <w:color w:val="auto"/>
        </w:rPr>
        <w:t>。谋划和实施一批引导产业转型、完善服务功能、提升居民生活幸福感的重大工程。建立汉台区</w:t>
      </w:r>
      <w:r>
        <w:rPr>
          <w:rFonts w:hint="eastAsia" w:cs="Times New Roman"/>
          <w:b w:val="0"/>
          <w:bCs w:val="0"/>
          <w:color w:val="auto"/>
          <w:lang w:eastAsia="zh-CN"/>
        </w:rPr>
        <w:t>“</w:t>
      </w:r>
      <w:r>
        <w:rPr>
          <w:rFonts w:hint="default" w:ascii="Times New Roman" w:hAnsi="Times New Roman" w:eastAsia="仿宋_GB2312" w:cs="Times New Roman"/>
          <w:b w:val="0"/>
          <w:bCs w:val="0"/>
          <w:color w:val="auto"/>
        </w:rPr>
        <w:t>十五五</w:t>
      </w:r>
      <w:r>
        <w:rPr>
          <w:rFonts w:hint="eastAsia" w:cs="Times New Roman"/>
          <w:b w:val="0"/>
          <w:bCs w:val="0"/>
          <w:color w:val="auto"/>
          <w:lang w:eastAsia="zh-CN"/>
        </w:rPr>
        <w:t>”</w:t>
      </w:r>
      <w:r>
        <w:rPr>
          <w:rFonts w:hint="default" w:ascii="Times New Roman" w:hAnsi="Times New Roman" w:eastAsia="仿宋_GB2312" w:cs="Times New Roman"/>
          <w:b w:val="0"/>
          <w:bCs w:val="0"/>
          <w:color w:val="auto"/>
        </w:rPr>
        <w:t>重大项目库，加强同国家和省市的衔接，争取一批重大项目挤进国家和省市重大项目库。</w:t>
      </w:r>
    </w:p>
    <w:p w14:paraId="5EC7BA6A">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b w:val="0"/>
          <w:bCs w:val="0"/>
          <w:color w:val="auto"/>
          <w:kern w:val="0"/>
          <w:sz w:val="32"/>
          <w:szCs w:val="32"/>
          <w:highlight w:val="none"/>
          <w:lang w:val="en-US" w:eastAsia="zh-CN" w:bidi="ar-SA"/>
        </w:rPr>
      </w:pPr>
      <w:r>
        <w:rPr>
          <w:rFonts w:hint="default" w:ascii="Times New Roman" w:hAnsi="Times New Roman" w:eastAsia="楷体_GB2312" w:cs="Times New Roman"/>
          <w:b w:val="0"/>
          <w:bCs w:val="0"/>
          <w:color w:val="auto"/>
          <w:sz w:val="32"/>
          <w:szCs w:val="32"/>
          <w:lang w:val="en-US" w:eastAsia="zh-CN"/>
        </w:rPr>
        <w:t>积极优化投资结构。</w:t>
      </w:r>
      <w:r>
        <w:rPr>
          <w:rFonts w:hint="default" w:ascii="Times New Roman" w:hAnsi="Times New Roman" w:eastAsia="仿宋_GB2312" w:cs="Times New Roman"/>
          <w:color w:val="auto"/>
          <w:kern w:val="0"/>
          <w:sz w:val="32"/>
          <w:szCs w:val="32"/>
          <w:lang w:val="en-US" w:eastAsia="zh-CN" w:bidi="ar"/>
        </w:rPr>
        <w:t>发挥政府投资引导作用，</w:t>
      </w:r>
      <w:r>
        <w:rPr>
          <w:rFonts w:hint="default" w:ascii="Times New Roman" w:hAnsi="Times New Roman" w:eastAsia="仿宋_GB2312" w:cs="Times New Roman"/>
          <w:color w:val="auto"/>
          <w:sz w:val="32"/>
          <w:szCs w:val="32"/>
        </w:rPr>
        <w:t>加大</w:t>
      </w:r>
      <w:r>
        <w:rPr>
          <w:rFonts w:hint="default" w:ascii="Times New Roman" w:hAnsi="Times New Roman" w:eastAsia="仿宋_GB2312" w:cs="Times New Roman"/>
          <w:color w:val="auto"/>
          <w:sz w:val="32"/>
          <w:szCs w:val="32"/>
          <w:lang w:val="en-US" w:eastAsia="zh-CN"/>
        </w:rPr>
        <w:t>城市更新、</w:t>
      </w:r>
      <w:r>
        <w:rPr>
          <w:rFonts w:hint="default" w:ascii="Times New Roman" w:hAnsi="Times New Roman" w:eastAsia="仿宋_GB2312" w:cs="Times New Roman"/>
          <w:color w:val="auto"/>
          <w:sz w:val="32"/>
          <w:szCs w:val="32"/>
        </w:rPr>
        <w:t>公共卫生、能源、交通、水利、生态环保</w:t>
      </w:r>
      <w:r>
        <w:rPr>
          <w:rFonts w:hint="default" w:ascii="Times New Roman" w:hAnsi="Times New Roman" w:cs="Times New Roman"/>
          <w:color w:val="auto"/>
          <w:sz w:val="32"/>
          <w:szCs w:val="32"/>
          <w:lang w:eastAsia="zh-CN"/>
        </w:rPr>
        <w:t>、</w:t>
      </w:r>
      <w:r>
        <w:rPr>
          <w:rFonts w:hint="default" w:ascii="Times New Roman" w:hAnsi="Times New Roman" w:eastAsia="仿宋_GB2312" w:cs="Times New Roman"/>
          <w:color w:val="auto"/>
          <w:sz w:val="32"/>
          <w:szCs w:val="32"/>
        </w:rPr>
        <w:t>社会民生等基础性领域投资力度</w:t>
      </w:r>
      <w:r>
        <w:rPr>
          <w:rFonts w:hint="default"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b w:val="0"/>
          <w:bCs w:val="0"/>
          <w:color w:val="auto"/>
          <w:kern w:val="0"/>
          <w:sz w:val="32"/>
          <w:szCs w:val="32"/>
          <w:highlight w:val="none"/>
          <w:lang w:val="en-US" w:eastAsia="zh-CN" w:bidi="ar-SA"/>
        </w:rPr>
        <w:t>落实</w:t>
      </w:r>
      <w:r>
        <w:rPr>
          <w:rFonts w:hint="eastAsia" w:cs="Times New Roman"/>
          <w:b w:val="0"/>
          <w:bCs w:val="0"/>
          <w:color w:val="auto"/>
          <w:kern w:val="0"/>
          <w:sz w:val="32"/>
          <w:szCs w:val="32"/>
          <w:highlight w:val="none"/>
          <w:lang w:val="en-US" w:eastAsia="zh-CN" w:bidi="ar-SA"/>
        </w:rPr>
        <w:t>“</w:t>
      </w:r>
      <w:r>
        <w:rPr>
          <w:rFonts w:hint="default" w:ascii="Times New Roman" w:hAnsi="Times New Roman" w:cs="Times New Roman"/>
          <w:b w:val="0"/>
          <w:bCs w:val="0"/>
          <w:color w:val="auto"/>
          <w:kern w:val="0"/>
          <w:sz w:val="32"/>
          <w:szCs w:val="32"/>
          <w:highlight w:val="none"/>
          <w:lang w:val="en-US" w:eastAsia="zh-CN" w:bidi="ar-SA"/>
        </w:rPr>
        <w:t>两重</w:t>
      </w:r>
      <w:r>
        <w:rPr>
          <w:rFonts w:hint="eastAsia" w:cs="Times New Roman"/>
          <w:b w:val="0"/>
          <w:bCs w:val="0"/>
          <w:color w:val="auto"/>
          <w:kern w:val="0"/>
          <w:sz w:val="32"/>
          <w:szCs w:val="32"/>
          <w:highlight w:val="none"/>
          <w:lang w:val="en-US" w:eastAsia="zh-CN" w:bidi="ar-SA"/>
        </w:rPr>
        <w:t>”“</w:t>
      </w:r>
      <w:r>
        <w:rPr>
          <w:rFonts w:hint="default" w:ascii="Times New Roman" w:hAnsi="Times New Roman" w:cs="Times New Roman"/>
          <w:b w:val="0"/>
          <w:bCs w:val="0"/>
          <w:color w:val="auto"/>
          <w:kern w:val="0"/>
          <w:sz w:val="32"/>
          <w:szCs w:val="32"/>
          <w:highlight w:val="none"/>
          <w:lang w:val="en-US" w:eastAsia="zh-CN" w:bidi="ar-SA"/>
        </w:rPr>
        <w:t>两新</w:t>
      </w:r>
      <w:r>
        <w:rPr>
          <w:rFonts w:hint="eastAsia" w:cs="Times New Roman"/>
          <w:b w:val="0"/>
          <w:bCs w:val="0"/>
          <w:color w:val="auto"/>
          <w:kern w:val="0"/>
          <w:sz w:val="32"/>
          <w:szCs w:val="32"/>
          <w:highlight w:val="none"/>
          <w:lang w:val="en-US" w:eastAsia="zh-CN" w:bidi="ar-SA"/>
        </w:rPr>
        <w:t>”</w:t>
      </w:r>
      <w:r>
        <w:rPr>
          <w:rFonts w:hint="default" w:ascii="Times New Roman" w:hAnsi="Times New Roman" w:eastAsia="仿宋_GB2312" w:cs="Times New Roman"/>
          <w:b w:val="0"/>
          <w:bCs w:val="0"/>
          <w:color w:val="auto"/>
          <w:kern w:val="0"/>
          <w:sz w:val="32"/>
          <w:szCs w:val="32"/>
          <w:highlight w:val="none"/>
          <w:lang w:val="en-US" w:eastAsia="zh-CN" w:bidi="ar-SA"/>
        </w:rPr>
        <w:t>政策，</w:t>
      </w:r>
      <w:r>
        <w:rPr>
          <w:rFonts w:hint="default" w:ascii="Times New Roman" w:hAnsi="Times New Roman" w:eastAsia="仿宋_GB2312" w:cs="Times New Roman"/>
          <w:b w:val="0"/>
          <w:bCs w:val="0"/>
          <w:color w:val="auto"/>
        </w:rPr>
        <w:t>加快5G</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5G-A</w:t>
      </w:r>
      <w:r>
        <w:rPr>
          <w:rFonts w:hint="default" w:ascii="Times New Roman" w:hAnsi="Times New Roman" w:eastAsia="仿宋_GB2312" w:cs="Times New Roman"/>
          <w:b w:val="0"/>
          <w:bCs w:val="0"/>
          <w:color w:val="auto"/>
        </w:rPr>
        <w:t>网络、工业互联网、智慧交通能源、科技基础设施等新型基础设施建设</w:t>
      </w:r>
      <w:r>
        <w:rPr>
          <w:rFonts w:hint="default" w:ascii="Times New Roman" w:hAnsi="Times New Roman" w:cs="Times New Roman"/>
          <w:b w:val="0"/>
          <w:bCs w:val="0"/>
          <w:color w:val="auto"/>
          <w:lang w:eastAsia="zh-CN"/>
        </w:rPr>
        <w:t>。</w:t>
      </w:r>
      <w:r>
        <w:rPr>
          <w:rFonts w:hint="default" w:ascii="Times New Roman" w:hAnsi="Times New Roman" w:eastAsia="仿宋_GB2312" w:cs="Times New Roman"/>
          <w:b w:val="0"/>
          <w:bCs w:val="0"/>
          <w:color w:val="auto"/>
          <w:kern w:val="0"/>
          <w:sz w:val="32"/>
          <w:szCs w:val="32"/>
          <w:highlight w:val="none"/>
          <w:lang w:val="en-US" w:eastAsia="zh-CN" w:bidi="ar-SA"/>
        </w:rPr>
        <w:t>强化产业投资带动作用，</w:t>
      </w:r>
      <w:r>
        <w:rPr>
          <w:rFonts w:hint="default" w:ascii="Times New Roman" w:hAnsi="Times New Roman" w:eastAsia="仿宋_GB2312" w:cs="Times New Roman"/>
          <w:b w:val="0"/>
          <w:bCs w:val="0"/>
          <w:color w:val="auto"/>
        </w:rPr>
        <w:t>推进先进制造业和战略性新兴产业投资，推动企业设备更新和技术改造</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重点</w:t>
      </w:r>
      <w:r>
        <w:rPr>
          <w:rFonts w:hint="default" w:ascii="Times New Roman" w:hAnsi="Times New Roman" w:eastAsia="仿宋_GB2312" w:cs="Times New Roman"/>
          <w:b w:val="0"/>
          <w:bCs w:val="0"/>
          <w:color w:val="auto"/>
          <w:kern w:val="0"/>
          <w:sz w:val="32"/>
          <w:szCs w:val="32"/>
          <w:highlight w:val="none"/>
          <w:lang w:val="en-US" w:eastAsia="zh-CN" w:bidi="ar-SA"/>
        </w:rPr>
        <w:t>布局</w:t>
      </w:r>
      <w:r>
        <w:rPr>
          <w:rFonts w:hint="default" w:ascii="Times New Roman" w:hAnsi="Times New Roman" w:cs="Times New Roman"/>
          <w:b w:val="0"/>
          <w:bCs w:val="0"/>
          <w:color w:val="auto"/>
          <w:kern w:val="0"/>
          <w:sz w:val="32"/>
          <w:szCs w:val="32"/>
          <w:highlight w:val="none"/>
          <w:lang w:val="en-US" w:eastAsia="zh-CN" w:bidi="ar-SA"/>
        </w:rPr>
        <w:t>装备制造、文化旅游、数字经济、低空经济等项目。</w:t>
      </w:r>
    </w:p>
    <w:p w14:paraId="77BA031F">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激发民间投资活力。</w:t>
      </w:r>
      <w:r>
        <w:rPr>
          <w:rFonts w:hint="default" w:ascii="Times New Roman" w:hAnsi="Times New Roman" w:eastAsia="仿宋_GB2312" w:cs="Times New Roman"/>
          <w:color w:val="auto"/>
          <w:sz w:val="32"/>
          <w:szCs w:val="32"/>
          <w:lang w:val="en-US" w:eastAsia="zh-CN"/>
        </w:rPr>
        <w:t>梳理和用好支持民间投资的各项政策，在项目审批、要素保障等方面营造公平环境，鼓励民营企业平等参与重大项目建设。</w:t>
      </w:r>
      <w:r>
        <w:rPr>
          <w:rFonts w:hint="default" w:ascii="Times New Roman" w:hAnsi="Times New Roman" w:eastAsia="仿宋_GB2312" w:cs="Times New Roman"/>
          <w:color w:val="auto"/>
          <w:kern w:val="0"/>
          <w:sz w:val="32"/>
          <w:szCs w:val="32"/>
          <w:lang w:val="en-US" w:eastAsia="zh-CN" w:bidi="ar"/>
        </w:rPr>
        <w:t>建立政府投资支持基础性、公益性、长远性重大项目建设长效机制</w:t>
      </w:r>
      <w:r>
        <w:rPr>
          <w:rFonts w:hint="default" w:ascii="Times New Roman" w:hAnsi="Times New Roman" w:eastAsia="仿宋_GB2312" w:cs="Times New Roman"/>
          <w:color w:val="auto"/>
          <w:sz w:val="32"/>
          <w:szCs w:val="32"/>
          <w:lang w:val="en-US" w:eastAsia="zh-CN"/>
        </w:rPr>
        <w:t>，综合运用政府资本金注入、投资补助、财政贴息等方式，争取中央预算内投资、超长期特别国债，用好政府专项债，更好发挥政府投资引导撬动作用。</w:t>
      </w:r>
      <w:r>
        <w:rPr>
          <w:rFonts w:hint="default" w:ascii="Times New Roman" w:hAnsi="Times New Roman" w:eastAsia="仿宋_GB2312" w:cs="Times New Roman"/>
          <w:b w:val="0"/>
          <w:bCs w:val="0"/>
          <w:color w:val="auto"/>
          <w:kern w:val="2"/>
          <w:sz w:val="32"/>
          <w:szCs w:val="32"/>
          <w:highlight w:val="none"/>
          <w:lang w:val="en-US" w:eastAsia="zh-CN" w:bidi="ar-SA"/>
        </w:rPr>
        <w:t>拓展民间资本投资领域，</w:t>
      </w:r>
      <w:r>
        <w:rPr>
          <w:rFonts w:hint="default" w:ascii="Times New Roman" w:hAnsi="Times New Roman" w:eastAsia="仿宋_GB2312" w:cs="Times New Roman"/>
          <w:b w:val="0"/>
          <w:bCs w:val="0"/>
          <w:color w:val="auto"/>
          <w:kern w:val="0"/>
          <w:sz w:val="32"/>
          <w:szCs w:val="32"/>
          <w:highlight w:val="none"/>
          <w:lang w:val="en-US" w:eastAsia="zh-CN" w:bidi="ar-SA"/>
        </w:rPr>
        <w:t>探索开展</w:t>
      </w:r>
      <w:r>
        <w:rPr>
          <w:rFonts w:hint="default" w:ascii="Times New Roman" w:hAnsi="Times New Roman" w:eastAsia="仿宋_GB2312" w:cs="Times New Roman"/>
          <w:color w:val="auto"/>
          <w:sz w:val="32"/>
          <w:szCs w:val="32"/>
          <w:lang w:val="en-US" w:eastAsia="zh-CN"/>
        </w:rPr>
        <w:t>基础设施领域不动产投资信托基金</w:t>
      </w:r>
      <w:r>
        <w:rPr>
          <w:rFonts w:hint="default" w:ascii="Times New Roman" w:hAnsi="Times New Roman"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REITS</w:t>
      </w:r>
      <w:r>
        <w:rPr>
          <w:rFonts w:hint="default" w:ascii="Times New Roman" w:hAnsi="Times New Roman" w:cs="Times New Roman"/>
          <w:color w:val="auto"/>
          <w:sz w:val="32"/>
          <w:szCs w:val="32"/>
          <w:lang w:val="en-US" w:eastAsia="zh-CN"/>
        </w:rPr>
        <w:t>）</w:t>
      </w:r>
      <w:r>
        <w:rPr>
          <w:rFonts w:hint="default" w:ascii="Times New Roman" w:hAnsi="Times New Roman" w:eastAsia="仿宋_GB2312" w:cs="Times New Roman"/>
          <w:b w:val="0"/>
          <w:bCs w:val="0"/>
          <w:color w:val="auto"/>
          <w:kern w:val="2"/>
          <w:sz w:val="32"/>
          <w:szCs w:val="32"/>
          <w:highlight w:val="none"/>
          <w:lang w:val="en-US" w:eastAsia="zh-CN" w:bidi="ar-SA"/>
        </w:rPr>
        <w:t>等方式</w:t>
      </w:r>
      <w:r>
        <w:rPr>
          <w:rFonts w:hint="default" w:ascii="Times New Roman" w:hAnsi="Times New Roman" w:cs="Times New Roman"/>
          <w:b w:val="0"/>
          <w:bCs w:val="0"/>
          <w:color w:val="auto"/>
          <w:kern w:val="2"/>
          <w:sz w:val="32"/>
          <w:szCs w:val="32"/>
          <w:highlight w:val="none"/>
          <w:lang w:val="en-US" w:eastAsia="zh-CN" w:bidi="ar-SA"/>
        </w:rPr>
        <w:t>参与基础设施建设。</w:t>
      </w:r>
      <w:r>
        <w:rPr>
          <w:rFonts w:hint="default" w:ascii="Times New Roman" w:hAnsi="Times New Roman" w:eastAsia="仿宋_GB2312" w:cs="Times New Roman"/>
          <w:color w:val="auto"/>
          <w:sz w:val="32"/>
          <w:szCs w:val="32"/>
          <w:lang w:val="en-US" w:eastAsia="zh-CN"/>
        </w:rPr>
        <w:t>落实落细新开工民间投资项目贷款贴息政策，激发民间投资活力。</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十五五</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期间，全</w:t>
      </w:r>
      <w:r>
        <w:rPr>
          <w:rFonts w:hint="default" w:ascii="Times New Roman" w:hAnsi="Times New Roman"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民间投资占固定资产投资比重</w:t>
      </w:r>
      <w:r>
        <w:rPr>
          <w:rFonts w:hint="default" w:ascii="Times New Roman" w:hAnsi="Times New Roman" w:cs="Times New Roman"/>
          <w:color w:val="auto"/>
          <w:sz w:val="32"/>
          <w:szCs w:val="32"/>
          <w:lang w:val="en-US" w:eastAsia="zh-CN"/>
        </w:rPr>
        <w:t>力争稳定</w:t>
      </w:r>
      <w:r>
        <w:rPr>
          <w:rFonts w:hint="default" w:ascii="Times New Roman" w:hAnsi="Times New Roman" w:eastAsia="仿宋_GB2312" w:cs="Times New Roman"/>
          <w:color w:val="auto"/>
          <w:sz w:val="32"/>
          <w:szCs w:val="32"/>
          <w:lang w:val="en-US" w:eastAsia="zh-CN"/>
        </w:rPr>
        <w:t>在</w:t>
      </w:r>
      <w:r>
        <w:rPr>
          <w:rFonts w:hint="default" w:ascii="Times New Roman" w:hAnsi="Times New Roman" w:cs="Times New Roman"/>
          <w:color w:val="auto"/>
          <w:sz w:val="32"/>
          <w:szCs w:val="32"/>
          <w:lang w:val="en-US" w:eastAsia="zh-CN"/>
        </w:rPr>
        <w:t>6</w:t>
      </w:r>
      <w:r>
        <w:rPr>
          <w:rFonts w:hint="default" w:ascii="Times New Roman" w:hAnsi="Times New Roman" w:eastAsia="仿宋_GB2312" w:cs="Times New Roman"/>
          <w:color w:val="auto"/>
          <w:sz w:val="32"/>
          <w:szCs w:val="32"/>
          <w:lang w:val="en-US" w:eastAsia="zh-CN"/>
        </w:rPr>
        <w:t>0%以上</w:t>
      </w:r>
      <w:r>
        <w:rPr>
          <w:rFonts w:hint="default" w:ascii="Times New Roman" w:hAnsi="Times New Roman" w:cs="Times New Roman"/>
          <w:color w:val="auto"/>
          <w:sz w:val="32"/>
          <w:szCs w:val="32"/>
          <w:lang w:val="en-US" w:eastAsia="zh-CN"/>
        </w:rPr>
        <w:t>。</w:t>
      </w:r>
    </w:p>
    <w:p w14:paraId="52AC28F4">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Cs w:val="32"/>
        </w:rPr>
      </w:pPr>
      <w:r>
        <w:rPr>
          <w:rFonts w:hint="default" w:ascii="Times New Roman" w:hAnsi="Times New Roman" w:eastAsia="楷体_GB2312" w:cs="Times New Roman"/>
          <w:b w:val="0"/>
          <w:bCs w:val="0"/>
          <w:color w:val="auto"/>
          <w:sz w:val="32"/>
          <w:szCs w:val="32"/>
          <w:lang w:val="en-US" w:eastAsia="zh-CN"/>
        </w:rPr>
        <w:t>严格项目建设管理。</w:t>
      </w:r>
      <w:r>
        <w:rPr>
          <w:rFonts w:hint="default" w:ascii="Times New Roman" w:hAnsi="Times New Roman" w:eastAsia="仿宋_GB2312" w:cs="Times New Roman"/>
          <w:color w:val="auto"/>
          <w:szCs w:val="32"/>
        </w:rPr>
        <w:t>树立和践行正确政绩观，深入论证重大项目实施的必要性、可行性和综合绩效，严把项目审批关，坚决杜绝</w:t>
      </w:r>
      <w:r>
        <w:rPr>
          <w:rFonts w:hint="eastAsia" w:cs="Times New Roman"/>
          <w:color w:val="auto"/>
          <w:szCs w:val="32"/>
          <w:lang w:eastAsia="zh-CN"/>
        </w:rPr>
        <w:t>“</w:t>
      </w:r>
      <w:r>
        <w:rPr>
          <w:rFonts w:hint="default" w:ascii="Times New Roman" w:hAnsi="Times New Roman" w:eastAsia="仿宋_GB2312" w:cs="Times New Roman"/>
          <w:color w:val="auto"/>
          <w:szCs w:val="32"/>
        </w:rPr>
        <w:t>形象工程</w:t>
      </w:r>
      <w:r>
        <w:rPr>
          <w:rFonts w:hint="eastAsia" w:cs="Times New Roman"/>
          <w:color w:val="auto"/>
          <w:szCs w:val="32"/>
          <w:lang w:eastAsia="zh-CN"/>
        </w:rPr>
        <w:t>”</w:t>
      </w:r>
      <w:r>
        <w:rPr>
          <w:rFonts w:hint="default" w:ascii="Times New Roman" w:hAnsi="Times New Roman" w:eastAsia="仿宋_GB2312" w:cs="Times New Roman"/>
          <w:color w:val="auto"/>
          <w:szCs w:val="32"/>
        </w:rPr>
        <w:t>和</w:t>
      </w:r>
      <w:r>
        <w:rPr>
          <w:rFonts w:hint="eastAsia" w:cs="Times New Roman"/>
          <w:color w:val="auto"/>
          <w:szCs w:val="32"/>
          <w:lang w:eastAsia="zh-CN"/>
        </w:rPr>
        <w:t>“</w:t>
      </w:r>
      <w:r>
        <w:rPr>
          <w:rFonts w:hint="default" w:ascii="Times New Roman" w:hAnsi="Times New Roman" w:eastAsia="仿宋_GB2312" w:cs="Times New Roman"/>
          <w:color w:val="auto"/>
          <w:szCs w:val="32"/>
        </w:rPr>
        <w:t>政绩工程</w:t>
      </w:r>
      <w:r>
        <w:rPr>
          <w:rFonts w:hint="eastAsia" w:cs="Times New Roman"/>
          <w:color w:val="auto"/>
          <w:szCs w:val="32"/>
          <w:lang w:eastAsia="zh-CN"/>
        </w:rPr>
        <w:t>”</w:t>
      </w:r>
      <w:r>
        <w:rPr>
          <w:rFonts w:hint="default" w:ascii="Times New Roman" w:hAnsi="Times New Roman" w:eastAsia="仿宋_GB2312" w:cs="Times New Roman"/>
          <w:color w:val="auto"/>
          <w:szCs w:val="32"/>
        </w:rPr>
        <w:t>，从源头上防范化解政府债务风险。科学设置重点项目建设年度目标，健全重大项目分类推进机制，按照谋划、储备、开工、投产等不同阶段实施动态管理，完善区级领导包抓、项目定期督查等推进措施，确保重大项目按计划高效落地。</w:t>
      </w:r>
    </w:p>
    <w:p w14:paraId="28100A50">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CESI黑体-GB2312" w:hAnsi="CESI黑体-GB2312" w:eastAsia="CESI黑体-GB2312" w:cs="CESI黑体-GB2312"/>
          <w:sz w:val="32"/>
          <w:szCs w:val="32"/>
          <w:lang w:val="en-US" w:eastAsia="zh-CN"/>
        </w:rPr>
      </w:pPr>
      <w:bookmarkStart w:id="158" w:name="_Toc15001"/>
      <w:bookmarkStart w:id="159" w:name="_Toc4144"/>
      <w:bookmarkStart w:id="160" w:name="_Toc1558"/>
      <w:r>
        <w:rPr>
          <w:rFonts w:hint="eastAsia" w:ascii="CESI黑体-GB2312" w:hAnsi="CESI黑体-GB2312" w:eastAsia="CESI黑体-GB2312" w:cs="CESI黑体-GB2312"/>
          <w:sz w:val="32"/>
          <w:szCs w:val="32"/>
          <w:lang w:val="en-US" w:eastAsia="zh-CN"/>
        </w:rPr>
        <w:t>第三节  提升基础设施现代化水平</w:t>
      </w:r>
      <w:bookmarkEnd w:id="158"/>
      <w:bookmarkEnd w:id="159"/>
      <w:bookmarkEnd w:id="160"/>
    </w:p>
    <w:p w14:paraId="116E99D7">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cs="Times New Roman"/>
          <w:color w:val="auto"/>
          <w:szCs w:val="32"/>
        </w:rPr>
        <w:t>以整体优化、协同融合为导向，加强基础设施建设，构建集约高效、经济适用、智能绿色、安全可靠的现代化基础设施体系。</w:t>
      </w:r>
    </w:p>
    <w:p w14:paraId="41C1E0C2">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161" w:name="_Toc19515"/>
      <w:bookmarkStart w:id="162" w:name="_Toc25620"/>
      <w:bookmarkStart w:id="163" w:name="_Toc15043"/>
      <w:r>
        <w:rPr>
          <w:rFonts w:hint="default" w:ascii="Times New Roman" w:hAnsi="Times New Roman" w:eastAsia="黑体" w:cs="Times New Roman"/>
          <w:b w:val="0"/>
          <w:bCs/>
          <w:color w:val="auto"/>
          <w:sz w:val="32"/>
          <w:szCs w:val="32"/>
          <w:lang w:val="en-US" w:eastAsia="zh-CN"/>
        </w:rPr>
        <w:t>一</w:t>
      </w:r>
      <w:bookmarkEnd w:id="161"/>
      <w:r>
        <w:rPr>
          <w:rFonts w:hint="default" w:ascii="Times New Roman" w:hAnsi="Times New Roman" w:eastAsia="黑体" w:cs="Times New Roman"/>
          <w:b w:val="0"/>
          <w:bCs/>
          <w:color w:val="auto"/>
          <w:sz w:val="32"/>
          <w:szCs w:val="32"/>
          <w:lang w:val="en-US" w:eastAsia="zh-CN"/>
        </w:rPr>
        <w:t>、</w:t>
      </w:r>
      <w:bookmarkEnd w:id="162"/>
      <w:bookmarkEnd w:id="163"/>
      <w:r>
        <w:rPr>
          <w:rFonts w:hint="default" w:ascii="Times New Roman" w:hAnsi="Times New Roman" w:eastAsia="黑体" w:cs="Times New Roman"/>
          <w:b w:val="0"/>
          <w:bCs/>
          <w:color w:val="auto"/>
          <w:sz w:val="32"/>
          <w:szCs w:val="32"/>
          <w:lang w:val="en-US" w:eastAsia="zh-CN"/>
        </w:rPr>
        <w:t>打造区域综合交通枢纽</w:t>
      </w:r>
    </w:p>
    <w:p w14:paraId="46F7E726">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Cs w:val="32"/>
          <w:lang w:eastAsia="zh-CN"/>
        </w:rPr>
      </w:pPr>
      <w:r>
        <w:rPr>
          <w:rFonts w:hint="default" w:ascii="Times New Roman" w:hAnsi="Times New Roman" w:eastAsia="楷体_GB2312" w:cs="Times New Roman"/>
          <w:b w:val="0"/>
          <w:bCs w:val="0"/>
          <w:color w:val="auto"/>
          <w:kern w:val="0"/>
          <w:sz w:val="32"/>
          <w:szCs w:val="32"/>
          <w:highlight w:val="none"/>
          <w:lang w:val="en-US" w:eastAsia="zh-CN" w:bidi="ar-SA"/>
        </w:rPr>
        <w:t>优化对外通道网络布局。</w:t>
      </w:r>
      <w:r>
        <w:rPr>
          <w:rFonts w:hint="default" w:ascii="Times New Roman" w:hAnsi="Times New Roman" w:eastAsia="仿宋_GB2312" w:cs="Times New Roman"/>
          <w:color w:val="auto"/>
          <w:szCs w:val="32"/>
        </w:rPr>
        <w:t>加快东西大通道建设，实施G108铺镇过境段公路建设，根据市政府工作安排，配合市级相关部门开展G108中心城区段、G244马道至周寨公路开展前期研究，加快汉（台）南（郑）、汉（台）城（固）快速通道建设，构建由</w:t>
      </w:r>
      <w:r>
        <w:rPr>
          <w:rFonts w:hint="eastAsia" w:cs="Times New Roman"/>
          <w:color w:val="auto"/>
          <w:szCs w:val="32"/>
          <w:lang w:eastAsia="zh-CN"/>
        </w:rPr>
        <w:t>“</w:t>
      </w:r>
      <w:r>
        <w:rPr>
          <w:rFonts w:hint="default" w:ascii="Times New Roman" w:hAnsi="Times New Roman" w:eastAsia="仿宋_GB2312" w:cs="Times New Roman"/>
          <w:color w:val="auto"/>
          <w:szCs w:val="32"/>
        </w:rPr>
        <w:t>三高三铁</w:t>
      </w:r>
      <w:r>
        <w:rPr>
          <w:rFonts w:hint="eastAsia" w:cs="Times New Roman"/>
          <w:color w:val="auto"/>
          <w:szCs w:val="32"/>
          <w:lang w:eastAsia="zh-CN"/>
        </w:rPr>
        <w:t>”</w:t>
      </w:r>
      <w:r>
        <w:rPr>
          <w:rFonts w:hint="default" w:ascii="Times New Roman" w:hAnsi="Times New Roman" w:eastAsia="仿宋_GB2312" w:cs="Times New Roman"/>
          <w:color w:val="auto"/>
          <w:szCs w:val="32"/>
        </w:rPr>
        <w:t>（西成客专、阳安铁路、宝鸡经汉中至巴中高铁为骨架的现代铁路网络和西汉、十天、宝汉高速为骨架的高速公路网）、G108、G244、G316为主骨架的对外交通大通道，提升对陕甘川渝的辐射能力</w:t>
      </w:r>
      <w:r>
        <w:rPr>
          <w:rFonts w:hint="default" w:ascii="Times New Roman" w:hAnsi="Times New Roman" w:eastAsia="仿宋_GB2312" w:cs="Times New Roman"/>
          <w:color w:val="auto"/>
          <w:szCs w:val="32"/>
          <w:lang w:eastAsia="zh-CN"/>
        </w:rPr>
        <w:t>。</w:t>
      </w:r>
    </w:p>
    <w:p w14:paraId="0D41C27D">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bCs/>
          <w:color w:val="auto"/>
          <w:szCs w:val="32"/>
          <w:lang w:val="en-US" w:eastAsia="zh-CN"/>
        </w:rPr>
      </w:pPr>
      <w:r>
        <w:rPr>
          <w:rFonts w:hint="default" w:ascii="Times New Roman" w:hAnsi="Times New Roman" w:eastAsia="楷体_GB2312" w:cs="Times New Roman"/>
          <w:b w:val="0"/>
          <w:bCs w:val="0"/>
          <w:color w:val="auto"/>
          <w:kern w:val="0"/>
          <w:sz w:val="32"/>
          <w:szCs w:val="32"/>
          <w:highlight w:val="none"/>
          <w:lang w:val="en-US" w:eastAsia="zh-CN" w:bidi="ar-SA"/>
        </w:rPr>
        <w:t>构建外联内畅公路网络。</w:t>
      </w:r>
      <w:r>
        <w:rPr>
          <w:rFonts w:hint="default" w:ascii="Times New Roman" w:hAnsi="Times New Roman" w:cs="Times New Roman"/>
          <w:bCs/>
          <w:color w:val="auto"/>
          <w:szCs w:val="32"/>
        </w:rPr>
        <w:t>改造提升</w:t>
      </w:r>
      <w:r>
        <w:rPr>
          <w:rFonts w:hint="eastAsia" w:cs="Times New Roman"/>
          <w:bCs/>
          <w:color w:val="auto"/>
          <w:szCs w:val="32"/>
          <w:lang w:eastAsia="zh-CN"/>
        </w:rPr>
        <w:t>“</w:t>
      </w:r>
      <w:r>
        <w:rPr>
          <w:rFonts w:hint="default" w:ascii="Times New Roman" w:hAnsi="Times New Roman" w:cs="Times New Roman"/>
          <w:bCs/>
          <w:color w:val="auto"/>
          <w:szCs w:val="32"/>
        </w:rPr>
        <w:t>八纵六横</w:t>
      </w:r>
      <w:r>
        <w:rPr>
          <w:rFonts w:hint="eastAsia" w:cs="Times New Roman"/>
          <w:bCs/>
          <w:color w:val="auto"/>
          <w:szCs w:val="32"/>
          <w:lang w:eastAsia="zh-CN"/>
        </w:rPr>
        <w:t>”</w:t>
      </w:r>
      <w:r>
        <w:rPr>
          <w:rFonts w:hint="default" w:ascii="Times New Roman" w:hAnsi="Times New Roman" w:cs="Times New Roman"/>
          <w:bCs/>
          <w:color w:val="auto"/>
          <w:szCs w:val="32"/>
        </w:rPr>
        <w:t>普通公路网，对黄张路、吴沙路、叶俊路、大兴至牛尾公路、沥孙路5条联络线提升完善，对西汉高速汉中东连接线、十天高速汉中北连接线、十天高速汉中铺镇连接线、十天高速褒城收费站连接线4条高速公路连接线进行路面改造提升，增强区域公路网连通性</w:t>
      </w:r>
      <w:r>
        <w:rPr>
          <w:rFonts w:hint="default" w:ascii="Times New Roman" w:hAnsi="Times New Roman" w:cs="Times New Roman"/>
          <w:bCs/>
          <w:color w:val="auto"/>
          <w:szCs w:val="32"/>
          <w:lang w:val="en-US" w:eastAsia="zh-CN"/>
        </w:rPr>
        <w:t>。</w:t>
      </w:r>
    </w:p>
    <w:p w14:paraId="16339BC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32" w:firstLineChars="200"/>
        <w:textAlignment w:val="center"/>
        <w:outlineLvl w:val="9"/>
        <w:rPr>
          <w:rFonts w:hint="default" w:ascii="Times New Roman" w:hAnsi="Times New Roman" w:eastAsia="仿宋_GB2312" w:cs="Times New Roman"/>
          <w:b w:val="0"/>
          <w:bCs w:val="0"/>
          <w:color w:val="auto"/>
          <w:kern w:val="0"/>
          <w:sz w:val="32"/>
          <w:szCs w:val="32"/>
          <w:highlight w:val="none"/>
          <w:lang w:val="en-US" w:eastAsia="zh-CN" w:bidi="ar-SA"/>
        </w:rPr>
      </w:pPr>
      <w:bookmarkStart w:id="164" w:name="_Toc5362"/>
      <w:r>
        <w:rPr>
          <w:rFonts w:hint="default" w:ascii="Times New Roman" w:hAnsi="Times New Roman" w:eastAsia="楷体_GB2312" w:cs="Times New Roman"/>
          <w:b w:val="0"/>
          <w:bCs w:val="0"/>
          <w:color w:val="auto"/>
          <w:kern w:val="0"/>
          <w:sz w:val="32"/>
          <w:szCs w:val="32"/>
          <w:highlight w:val="none"/>
          <w:lang w:val="en-US" w:eastAsia="zh-CN" w:bidi="ar-SA"/>
        </w:rPr>
        <w:t>健全综合运输服务体系。</w:t>
      </w:r>
      <w:r>
        <w:rPr>
          <w:rFonts w:hint="default" w:ascii="Times New Roman" w:hAnsi="Times New Roman" w:cs="Times New Roman"/>
          <w:color w:val="auto"/>
          <w:szCs w:val="32"/>
        </w:rPr>
        <w:t>依托汉中高铁枢纽站点，</w:t>
      </w:r>
      <w:r>
        <w:rPr>
          <w:rFonts w:hint="default" w:ascii="Times New Roman" w:hAnsi="Times New Roman" w:cs="Times New Roman"/>
          <w:bCs/>
          <w:color w:val="auto"/>
          <w:szCs w:val="32"/>
        </w:rPr>
        <w:t>探索城市公交站场建设新模式，建设</w:t>
      </w:r>
      <w:r>
        <w:rPr>
          <w:rFonts w:hint="eastAsia" w:cs="Times New Roman"/>
          <w:bCs/>
          <w:color w:val="auto"/>
          <w:szCs w:val="32"/>
          <w:lang w:eastAsia="zh-CN"/>
        </w:rPr>
        <w:t>“</w:t>
      </w:r>
      <w:r>
        <w:rPr>
          <w:rFonts w:hint="default" w:ascii="Times New Roman" w:hAnsi="Times New Roman" w:cs="Times New Roman"/>
          <w:bCs/>
          <w:color w:val="auto"/>
          <w:szCs w:val="32"/>
        </w:rPr>
        <w:t>零换乘</w:t>
      </w:r>
      <w:r>
        <w:rPr>
          <w:rFonts w:hint="eastAsia" w:cs="Times New Roman"/>
          <w:bCs/>
          <w:color w:val="auto"/>
          <w:szCs w:val="32"/>
          <w:lang w:eastAsia="zh-CN"/>
        </w:rPr>
        <w:t>”</w:t>
      </w:r>
      <w:r>
        <w:rPr>
          <w:rFonts w:hint="default" w:ascii="Times New Roman" w:hAnsi="Times New Roman" w:cs="Times New Roman"/>
          <w:bCs/>
          <w:color w:val="auto"/>
          <w:szCs w:val="32"/>
        </w:rPr>
        <w:t>的综合客运枢纽。</w:t>
      </w:r>
      <w:r>
        <w:rPr>
          <w:rFonts w:hint="default" w:ascii="Times New Roman" w:hAnsi="Times New Roman" w:eastAsia="仿宋_GB2312" w:cs="Times New Roman"/>
          <w:color w:val="auto"/>
          <w:spacing w:val="0"/>
          <w:kern w:val="2"/>
          <w:sz w:val="32"/>
          <w:szCs w:val="32"/>
          <w:highlight w:val="none"/>
          <w:rtl w:val="0"/>
          <w:lang w:val="en-US" w:eastAsia="zh-CN" w:bidi="ar-SA"/>
        </w:rPr>
        <w:t>推进城乡客运一体化，</w:t>
      </w:r>
      <w:r>
        <w:rPr>
          <w:rFonts w:hint="default" w:ascii="Times New Roman" w:hAnsi="Times New Roman" w:cs="Times New Roman"/>
          <w:color w:val="auto"/>
          <w:szCs w:val="32"/>
        </w:rPr>
        <w:t>改造升级城市公交系统，</w:t>
      </w:r>
      <w:r>
        <w:rPr>
          <w:rFonts w:hint="default" w:ascii="Times New Roman" w:hAnsi="Times New Roman" w:eastAsia="仿宋_GB2312" w:cs="Times New Roman"/>
          <w:color w:val="auto"/>
          <w:spacing w:val="0"/>
          <w:kern w:val="2"/>
          <w:sz w:val="32"/>
          <w:szCs w:val="32"/>
          <w:highlight w:val="none"/>
          <w:rtl w:val="0"/>
          <w:lang w:val="en-US" w:eastAsia="zh-CN" w:bidi="ar-SA"/>
        </w:rPr>
        <w:t>稳步扩大农村客运覆盖</w:t>
      </w:r>
      <w:r>
        <w:rPr>
          <w:rFonts w:hint="default" w:ascii="Times New Roman" w:hAnsi="Times New Roman" w:cs="Times New Roman"/>
          <w:color w:val="auto"/>
          <w:spacing w:val="0"/>
          <w:kern w:val="2"/>
          <w:sz w:val="32"/>
          <w:szCs w:val="32"/>
          <w:highlight w:val="none"/>
          <w:rtl w:val="0"/>
          <w:lang w:val="en-US" w:eastAsia="zh-CN" w:bidi="ar-SA"/>
        </w:rPr>
        <w:t>。</w:t>
      </w:r>
      <w:r>
        <w:rPr>
          <w:rFonts w:hint="default" w:ascii="Times New Roman" w:hAnsi="Times New Roman" w:eastAsia="仿宋_GB2312" w:cs="Times New Roman"/>
          <w:color w:val="auto"/>
          <w:spacing w:val="0"/>
          <w:kern w:val="2"/>
          <w:sz w:val="32"/>
          <w:szCs w:val="32"/>
          <w:highlight w:val="none"/>
          <w:rtl w:val="0"/>
          <w:lang w:val="en-US" w:eastAsia="zh-CN" w:bidi="ar-SA"/>
        </w:rPr>
        <w:t>推动</w:t>
      </w:r>
      <w:r>
        <w:rPr>
          <w:rFonts w:hint="default" w:ascii="Times New Roman" w:hAnsi="Times New Roman" w:eastAsia="仿宋_GB2312" w:cs="Times New Roman"/>
          <w:color w:val="auto"/>
          <w:kern w:val="0"/>
          <w:sz w:val="32"/>
          <w:szCs w:val="32"/>
          <w:lang w:val="en-US" w:eastAsia="zh-CN" w:bidi="ar"/>
        </w:rPr>
        <w:t>客货邮融合发展，推广</w:t>
      </w:r>
      <w:r>
        <w:rPr>
          <w:rFonts w:hint="eastAsia"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客运带货、快递上公交</w:t>
      </w:r>
      <w:r>
        <w:rPr>
          <w:rFonts w:hint="eastAsia"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等模式，</w:t>
      </w:r>
      <w:r>
        <w:rPr>
          <w:rFonts w:hint="default" w:ascii="Times New Roman" w:hAnsi="Times New Roman" w:eastAsia="仿宋_GB2312" w:cs="Times New Roman"/>
          <w:b w:val="0"/>
          <w:bCs w:val="0"/>
          <w:color w:val="auto"/>
          <w:kern w:val="0"/>
          <w:sz w:val="32"/>
          <w:szCs w:val="32"/>
          <w:highlight w:val="none"/>
          <w:lang w:val="en-US" w:eastAsia="zh-CN" w:bidi="ar-SA"/>
        </w:rPr>
        <w:t>提升快递</w:t>
      </w:r>
      <w:r>
        <w:rPr>
          <w:rFonts w:hint="eastAsia" w:cs="Times New Roman"/>
          <w:b w:val="0"/>
          <w:bCs w:val="0"/>
          <w:color w:val="auto"/>
          <w:kern w:val="0"/>
          <w:sz w:val="32"/>
          <w:szCs w:val="32"/>
          <w:highlight w:val="none"/>
          <w:lang w:val="en-US" w:eastAsia="zh-CN" w:bidi="ar-SA"/>
        </w:rPr>
        <w:t>“</w:t>
      </w:r>
      <w:r>
        <w:rPr>
          <w:rFonts w:hint="default" w:ascii="Times New Roman" w:hAnsi="Times New Roman" w:eastAsia="仿宋_GB2312" w:cs="Times New Roman"/>
          <w:b w:val="0"/>
          <w:bCs w:val="0"/>
          <w:color w:val="auto"/>
          <w:kern w:val="0"/>
          <w:sz w:val="32"/>
          <w:szCs w:val="32"/>
          <w:highlight w:val="none"/>
          <w:lang w:val="en-US" w:eastAsia="zh-CN" w:bidi="ar-SA"/>
        </w:rPr>
        <w:t>最后一公里</w:t>
      </w:r>
      <w:r>
        <w:rPr>
          <w:rFonts w:hint="eastAsia" w:cs="Times New Roman"/>
          <w:b w:val="0"/>
          <w:bCs w:val="0"/>
          <w:color w:val="auto"/>
          <w:kern w:val="0"/>
          <w:sz w:val="32"/>
          <w:szCs w:val="32"/>
          <w:highlight w:val="none"/>
          <w:lang w:val="en-US" w:eastAsia="zh-CN" w:bidi="ar-SA"/>
        </w:rPr>
        <w:t>”</w:t>
      </w:r>
      <w:r>
        <w:rPr>
          <w:rFonts w:hint="default" w:ascii="Times New Roman" w:hAnsi="Times New Roman" w:eastAsia="仿宋_GB2312" w:cs="Times New Roman"/>
          <w:b w:val="0"/>
          <w:bCs w:val="0"/>
          <w:color w:val="auto"/>
          <w:kern w:val="0"/>
          <w:sz w:val="32"/>
          <w:szCs w:val="32"/>
          <w:highlight w:val="none"/>
          <w:lang w:val="en-US" w:eastAsia="zh-CN" w:bidi="ar-SA"/>
        </w:rPr>
        <w:t>服务能力</w:t>
      </w:r>
      <w:r>
        <w:rPr>
          <w:rFonts w:hint="default" w:ascii="Times New Roman" w:hAnsi="Times New Roman" w:cs="Times New Roman"/>
          <w:b w:val="0"/>
          <w:bCs w:val="0"/>
          <w:color w:val="auto"/>
          <w:kern w:val="0"/>
          <w:sz w:val="32"/>
          <w:szCs w:val="32"/>
          <w:highlight w:val="none"/>
          <w:lang w:val="en-US" w:eastAsia="zh-CN" w:bidi="ar-SA"/>
        </w:rPr>
        <w:t>。</w:t>
      </w:r>
      <w:r>
        <w:rPr>
          <w:rFonts w:hint="default" w:ascii="Times New Roman" w:hAnsi="Times New Roman" w:eastAsia="仿宋_GB2312" w:cs="Times New Roman"/>
          <w:b w:val="0"/>
          <w:bCs w:val="0"/>
          <w:color w:val="auto"/>
          <w:kern w:val="0"/>
          <w:sz w:val="32"/>
          <w:szCs w:val="32"/>
          <w:highlight w:val="none"/>
          <w:lang w:val="en-US" w:eastAsia="zh-CN" w:bidi="ar-SA"/>
        </w:rPr>
        <w:t>引导出租汽车、网约车规范运营。</w:t>
      </w:r>
      <w:r>
        <w:rPr>
          <w:rFonts w:hint="default" w:ascii="Times New Roman" w:hAnsi="Times New Roman" w:cs="Times New Roman"/>
          <w:b w:val="0"/>
          <w:bCs w:val="0"/>
          <w:color w:val="auto"/>
          <w:kern w:val="0"/>
          <w:sz w:val="32"/>
          <w:szCs w:val="32"/>
          <w:highlight w:val="none"/>
          <w:lang w:val="en-US" w:eastAsia="zh-CN" w:bidi="ar-SA"/>
        </w:rPr>
        <w:t>推动发展汉江航运，</w:t>
      </w:r>
      <w:r>
        <w:rPr>
          <w:rFonts w:hint="default" w:ascii="Times New Roman" w:hAnsi="Times New Roman" w:cs="Times New Roman"/>
          <w:color w:val="auto"/>
          <w:szCs w:val="32"/>
        </w:rPr>
        <w:t>以提升汉江航道等级为主，</w:t>
      </w:r>
      <w:r>
        <w:rPr>
          <w:rFonts w:hint="default" w:ascii="Times New Roman" w:hAnsi="Times New Roman" w:cs="Times New Roman"/>
          <w:b w:val="0"/>
          <w:bCs w:val="0"/>
          <w:color w:val="auto"/>
          <w:kern w:val="0"/>
          <w:sz w:val="32"/>
          <w:szCs w:val="32"/>
          <w:highlight w:val="none"/>
          <w:lang w:val="en-US" w:eastAsia="zh-CN" w:bidi="ar-SA"/>
        </w:rPr>
        <w:t>配合省、市</w:t>
      </w:r>
      <w:r>
        <w:rPr>
          <w:rFonts w:hint="default" w:ascii="Times New Roman" w:hAnsi="Times New Roman" w:cs="Times New Roman"/>
          <w:color w:val="auto"/>
          <w:szCs w:val="32"/>
        </w:rPr>
        <w:t>推进港口码头建设，发展高品质水上旅游客运</w:t>
      </w:r>
      <w:r>
        <w:rPr>
          <w:rFonts w:hint="default" w:ascii="Times New Roman" w:hAnsi="Times New Roman" w:cs="Times New Roman"/>
          <w:color w:val="auto"/>
          <w:szCs w:val="32"/>
          <w:lang w:eastAsia="zh-CN"/>
        </w:rPr>
        <w:t>。</w:t>
      </w:r>
    </w:p>
    <w:p w14:paraId="0275F4D1">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165" w:name="_Toc26704"/>
      <w:bookmarkStart w:id="166" w:name="_Toc11999"/>
      <w:r>
        <w:rPr>
          <w:rFonts w:hint="default" w:ascii="Times New Roman" w:hAnsi="Times New Roman" w:eastAsia="黑体" w:cs="Times New Roman"/>
          <w:b w:val="0"/>
          <w:bCs/>
          <w:color w:val="auto"/>
          <w:sz w:val="32"/>
          <w:szCs w:val="32"/>
          <w:lang w:val="en-US" w:eastAsia="zh-CN"/>
        </w:rPr>
        <w:t>二、强化水利基础设施</w:t>
      </w:r>
      <w:bookmarkEnd w:id="164"/>
      <w:r>
        <w:rPr>
          <w:rFonts w:hint="default" w:ascii="Times New Roman" w:hAnsi="Times New Roman" w:eastAsia="黑体" w:cs="Times New Roman"/>
          <w:b w:val="0"/>
          <w:bCs/>
          <w:color w:val="auto"/>
          <w:sz w:val="32"/>
          <w:szCs w:val="32"/>
          <w:lang w:val="en-US" w:eastAsia="zh-CN"/>
        </w:rPr>
        <w:t>建设</w:t>
      </w:r>
      <w:bookmarkEnd w:id="165"/>
      <w:bookmarkEnd w:id="166"/>
    </w:p>
    <w:p w14:paraId="028CB5D3">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pacing w:val="0"/>
          <w:kern w:val="2"/>
          <w:sz w:val="32"/>
          <w:szCs w:val="32"/>
          <w:highlight w:val="none"/>
          <w:rtl w:val="0"/>
          <w:lang w:val="en-US" w:eastAsia="zh-CN" w:bidi="ar-SA"/>
        </w:rPr>
      </w:pPr>
      <w:r>
        <w:rPr>
          <w:rFonts w:hint="default" w:ascii="Times New Roman" w:hAnsi="Times New Roman" w:eastAsia="楷体_GB2312" w:cs="Times New Roman"/>
          <w:b w:val="0"/>
          <w:bCs w:val="0"/>
          <w:color w:val="auto"/>
          <w:kern w:val="0"/>
          <w:sz w:val="32"/>
          <w:szCs w:val="32"/>
          <w:highlight w:val="none"/>
          <w:lang w:val="en-US" w:eastAsia="zh-CN" w:bidi="ar-SA"/>
        </w:rPr>
        <w:t>建立水资源配置与供水保障体系。</w:t>
      </w:r>
      <w:r>
        <w:rPr>
          <w:rFonts w:hint="default" w:ascii="Times New Roman" w:hAnsi="Times New Roman" w:eastAsia="仿宋_GB2312" w:cs="Times New Roman"/>
          <w:color w:val="auto"/>
          <w:spacing w:val="0"/>
          <w:kern w:val="2"/>
          <w:sz w:val="32"/>
          <w:szCs w:val="32"/>
          <w:highlight w:val="none"/>
          <w:rtl w:val="0"/>
          <w:lang w:val="en-US" w:eastAsia="zh-CN" w:bidi="ar-SA"/>
        </w:rPr>
        <w:t>建设北部浅山丘陵片区引调水项目，推进宗营镇、河东店镇、铺镇、龙江街道等规模化供水工程建设，实施管网延伸联通与水厂改造，实现农村供水人口全覆盖</w:t>
      </w:r>
      <w:r>
        <w:rPr>
          <w:rFonts w:hint="default" w:ascii="Times New Roman" w:hAnsi="Times New Roman" w:cs="Times New Roman"/>
          <w:color w:val="auto"/>
          <w:spacing w:val="0"/>
          <w:kern w:val="2"/>
          <w:sz w:val="32"/>
          <w:szCs w:val="32"/>
          <w:highlight w:val="none"/>
          <w:rtl w:val="0"/>
          <w:lang w:val="en-US" w:eastAsia="zh-CN" w:bidi="ar-SA"/>
        </w:rPr>
        <w:t>，</w:t>
      </w:r>
      <w:r>
        <w:rPr>
          <w:rFonts w:hint="default" w:ascii="Times New Roman" w:hAnsi="Times New Roman" w:eastAsia="仿宋_GB2312" w:cs="Times New Roman"/>
          <w:color w:val="auto"/>
          <w:spacing w:val="0"/>
          <w:kern w:val="2"/>
          <w:sz w:val="32"/>
          <w:szCs w:val="32"/>
          <w:highlight w:val="none"/>
          <w:rtl w:val="0"/>
          <w:lang w:val="en-US" w:eastAsia="zh-CN" w:bidi="ar-SA"/>
        </w:rPr>
        <w:t>提升城乡供水保障能力与集约化水平。对现有镇（街道）中心水厂和规模化供水工程进行工艺改造升级，确保出水稳定达标。以节水项目为抓手，统筹推进节水型小区、企业、单位等建设，加强雨水利用，推动非常规水纳入水资源统一配置。</w:t>
      </w:r>
    </w:p>
    <w:p w14:paraId="7007CF19">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val="0"/>
          <w:bCs w:val="0"/>
          <w:color w:val="auto"/>
          <w:kern w:val="0"/>
          <w:sz w:val="32"/>
          <w:szCs w:val="32"/>
          <w:highlight w:val="none"/>
          <w:lang w:val="en-US" w:eastAsia="zh-CN" w:bidi="ar-SA"/>
        </w:rPr>
        <w:t>建设水旱灾害防御体系。</w:t>
      </w:r>
      <w:r>
        <w:rPr>
          <w:rFonts w:hint="default" w:ascii="Times New Roman" w:hAnsi="Times New Roman" w:eastAsia="仿宋_GB2312" w:cs="Times New Roman"/>
          <w:color w:val="auto"/>
          <w:spacing w:val="0"/>
          <w:kern w:val="2"/>
          <w:sz w:val="32"/>
          <w:szCs w:val="32"/>
          <w:highlight w:val="none"/>
          <w:rtl w:val="0"/>
          <w:lang w:val="en-US" w:eastAsia="zh-CN" w:bidi="ar-SA"/>
        </w:rPr>
        <w:t>开展水库、水闸等工程设施隐患排查和安全鉴定，对病险水库、水闸实施除险加固或降等报废，消除工程安全隐患。加大现有水库、塘坝等蓄水工程扩容、加固、清淤力度，推进水库安全大坝、生态大坝、智能大坝建设，强化水库库容管理。加强农田排水沟渠清淤，实施青沙河、宋家桥、乌沙渠等排涝通道建设，提升排涝能力。推进褒河干流防洪工程，实施汉江综合整治提升工程，增强汉江流域干支流洪水防御能力，夯实防汛减灾基础，加强防汛预警系统、水旱灾害防治能力建设</w:t>
      </w:r>
      <w:r>
        <w:rPr>
          <w:rFonts w:hint="default" w:ascii="Times New Roman" w:hAnsi="Times New Roman" w:eastAsia="仿宋_GB2312" w:cs="Times New Roman"/>
          <w:color w:val="auto"/>
          <w:sz w:val="32"/>
          <w:szCs w:val="32"/>
        </w:rPr>
        <w:t>。</w:t>
      </w:r>
    </w:p>
    <w:p w14:paraId="3AD4FAEE">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lang w:eastAsia="zh-CN"/>
        </w:rPr>
      </w:pPr>
      <w:r>
        <w:rPr>
          <w:rFonts w:hint="default" w:ascii="Times New Roman" w:hAnsi="Times New Roman" w:eastAsia="楷体_GB2312" w:cs="Times New Roman"/>
          <w:b w:val="0"/>
          <w:bCs w:val="0"/>
          <w:color w:val="auto"/>
          <w:kern w:val="0"/>
          <w:sz w:val="32"/>
          <w:szCs w:val="32"/>
          <w:highlight w:val="none"/>
          <w:lang w:val="en-US" w:eastAsia="zh-CN" w:bidi="ar-SA"/>
        </w:rPr>
        <w:t>构建安全韧性水网。</w:t>
      </w:r>
      <w:r>
        <w:rPr>
          <w:rFonts w:hint="default" w:ascii="Times New Roman" w:hAnsi="Times New Roman" w:eastAsia="仿宋_GB2312" w:cs="Times New Roman"/>
          <w:color w:val="auto"/>
          <w:sz w:val="32"/>
          <w:szCs w:val="32"/>
          <w:lang w:val="en-US" w:eastAsia="zh-CN"/>
        </w:rPr>
        <w:t>积极融入全市三横五纵水网建设，织密、延伸与优化区域水资源配置网络，实现水系之间、工程之间、工程与水系之间连通。稳步推进灌区、灌排渠系工程、渠道与塘库之间调水补水等水系连通工程，谋划实施以中心城区水系治理为重点的南水北调中线水源地水生态保护修复工程。以干渠、支渠、斗渠、农渠为重点，加快排涝沟道、渠道、抗旱水源工程和小型农田水利等基础设施建设，开展农村沟渠连通整治，实现旱能浇、涝能排、洪能防</w:t>
      </w:r>
      <w:r>
        <w:rPr>
          <w:rFonts w:hint="default" w:ascii="Times New Roman" w:hAnsi="Times New Roman" w:eastAsia="仿宋_GB2312" w:cs="Times New Roman"/>
          <w:color w:val="auto"/>
          <w:sz w:val="32"/>
          <w:szCs w:val="32"/>
          <w:lang w:eastAsia="zh-CN"/>
        </w:rPr>
        <w:t>。</w:t>
      </w:r>
    </w:p>
    <w:p w14:paraId="39D0D1E3">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167" w:name="_Toc17466"/>
      <w:bookmarkStart w:id="168" w:name="_Toc25751"/>
      <w:r>
        <w:rPr>
          <w:rFonts w:hint="default" w:ascii="Times New Roman" w:hAnsi="Times New Roman" w:eastAsia="黑体" w:cs="Times New Roman"/>
          <w:b w:val="0"/>
          <w:bCs/>
          <w:color w:val="auto"/>
          <w:sz w:val="32"/>
          <w:szCs w:val="32"/>
          <w:lang w:val="en-US" w:eastAsia="zh-CN"/>
        </w:rPr>
        <w:t>三、提高能源供应保障能力</w:t>
      </w:r>
      <w:bookmarkEnd w:id="167"/>
      <w:bookmarkEnd w:id="168"/>
    </w:p>
    <w:p w14:paraId="1203E935">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Cs w:val="32"/>
        </w:rPr>
      </w:pPr>
      <w:r>
        <w:rPr>
          <w:rFonts w:hint="default" w:ascii="Times New Roman" w:hAnsi="Times New Roman" w:eastAsia="楷体_GB2312" w:cs="Times New Roman"/>
          <w:b w:val="0"/>
          <w:bCs w:val="0"/>
          <w:color w:val="auto"/>
          <w:kern w:val="0"/>
          <w:sz w:val="32"/>
          <w:szCs w:val="32"/>
          <w:highlight w:val="none"/>
          <w:lang w:val="en-US" w:eastAsia="zh-CN" w:bidi="ar-SA"/>
        </w:rPr>
        <w:t>加快电力网络建设。</w:t>
      </w:r>
      <w:r>
        <w:rPr>
          <w:rFonts w:hint="default" w:ascii="Times New Roman" w:hAnsi="Times New Roman" w:eastAsia="仿宋_GB2312" w:cs="Times New Roman"/>
          <w:color w:val="auto"/>
          <w:szCs w:val="32"/>
        </w:rPr>
        <w:t>加快配电网智能化升级改造。实施新一轮电网改造升级工程，建设智能输变电系统，着力解决配电网薄弱问题。</w:t>
      </w:r>
    </w:p>
    <w:p w14:paraId="33665192">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Cs w:val="32"/>
        </w:rPr>
      </w:pPr>
      <w:r>
        <w:rPr>
          <w:rFonts w:hint="default" w:ascii="Times New Roman" w:hAnsi="Times New Roman" w:eastAsia="楷体_GB2312" w:cs="Times New Roman"/>
          <w:b w:val="0"/>
          <w:bCs w:val="0"/>
          <w:color w:val="auto"/>
          <w:kern w:val="0"/>
          <w:sz w:val="32"/>
          <w:szCs w:val="32"/>
          <w:highlight w:val="none"/>
          <w:lang w:val="en-US" w:eastAsia="zh-CN" w:bidi="ar-SA"/>
        </w:rPr>
        <w:t>深化天然气扩面提质。</w:t>
      </w:r>
      <w:r>
        <w:rPr>
          <w:rFonts w:hint="default" w:ascii="Times New Roman" w:hAnsi="Times New Roman" w:eastAsia="仿宋_GB2312" w:cs="Times New Roman"/>
          <w:color w:val="auto"/>
          <w:szCs w:val="32"/>
        </w:rPr>
        <w:t>完善城乡天然气管网体系和调峰设施，推动天然气站建设，加快次管网和用户联网扩面向农村延伸，进一步提高天然气入户使用率。</w:t>
      </w:r>
    </w:p>
    <w:p w14:paraId="65F61023">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lang w:val="en-US"/>
        </w:rPr>
      </w:pPr>
      <w:r>
        <w:rPr>
          <w:rFonts w:hint="default" w:ascii="Times New Roman" w:hAnsi="Times New Roman" w:eastAsia="楷体_GB2312" w:cs="Times New Roman"/>
          <w:b w:val="0"/>
          <w:bCs w:val="0"/>
          <w:color w:val="auto"/>
          <w:kern w:val="0"/>
          <w:sz w:val="32"/>
          <w:szCs w:val="32"/>
          <w:highlight w:val="none"/>
          <w:lang w:val="en-US" w:eastAsia="zh-CN" w:bidi="ar-SA"/>
        </w:rPr>
        <w:t>改善能源消费结构。</w:t>
      </w:r>
      <w:r>
        <w:rPr>
          <w:rFonts w:hint="default" w:ascii="Times New Roman" w:hAnsi="Times New Roman" w:eastAsia="仿宋_GB2312" w:cs="Times New Roman"/>
          <w:color w:val="auto"/>
          <w:kern w:val="0"/>
          <w:sz w:val="31"/>
          <w:szCs w:val="31"/>
          <w:lang w:val="en-US" w:eastAsia="zh-CN" w:bidi="ar"/>
        </w:rPr>
        <w:t>坚持</w:t>
      </w:r>
      <w:r>
        <w:rPr>
          <w:rFonts w:hint="eastAsia" w:cs="Times New Roman"/>
          <w:color w:val="auto"/>
          <w:kern w:val="0"/>
          <w:sz w:val="31"/>
          <w:szCs w:val="31"/>
          <w:lang w:val="en-US" w:eastAsia="zh-CN" w:bidi="ar"/>
        </w:rPr>
        <w:t>“</w:t>
      </w:r>
      <w:r>
        <w:rPr>
          <w:rFonts w:hint="default" w:ascii="Times New Roman" w:hAnsi="Times New Roman" w:eastAsia="仿宋_GB2312" w:cs="Times New Roman"/>
          <w:color w:val="auto"/>
          <w:kern w:val="0"/>
          <w:sz w:val="31"/>
          <w:szCs w:val="31"/>
          <w:lang w:val="en-US" w:eastAsia="zh-CN" w:bidi="ar"/>
        </w:rPr>
        <w:t>宜电则电、宜气则气、宜生物质则生物质</w:t>
      </w:r>
      <w:r>
        <w:rPr>
          <w:rFonts w:hint="eastAsia" w:cs="Times New Roman"/>
          <w:color w:val="auto"/>
          <w:kern w:val="0"/>
          <w:sz w:val="31"/>
          <w:szCs w:val="31"/>
          <w:lang w:val="en-US" w:eastAsia="zh-CN" w:bidi="ar"/>
        </w:rPr>
        <w:t>”</w:t>
      </w:r>
      <w:r>
        <w:rPr>
          <w:rFonts w:hint="default" w:ascii="Times New Roman" w:hAnsi="Times New Roman" w:eastAsia="仿宋_GB2312" w:cs="Times New Roman"/>
          <w:color w:val="auto"/>
          <w:kern w:val="0"/>
          <w:sz w:val="31"/>
          <w:szCs w:val="31"/>
          <w:lang w:val="en-US" w:eastAsia="zh-CN" w:bidi="ar"/>
        </w:rPr>
        <w:t>原则，因地制宜</w:t>
      </w:r>
      <w:r>
        <w:rPr>
          <w:rFonts w:hint="default" w:ascii="Times New Roman" w:hAnsi="Times New Roman" w:cs="Times New Roman"/>
          <w:color w:val="auto"/>
          <w:kern w:val="0"/>
          <w:sz w:val="31"/>
          <w:szCs w:val="31"/>
          <w:lang w:val="en-US" w:eastAsia="zh-CN" w:bidi="ar"/>
        </w:rPr>
        <w:t>推进</w:t>
      </w:r>
      <w:r>
        <w:rPr>
          <w:rFonts w:hint="default" w:ascii="Times New Roman" w:hAnsi="Times New Roman" w:eastAsia="仿宋_GB2312" w:cs="Times New Roman"/>
          <w:color w:val="auto"/>
          <w:kern w:val="0"/>
          <w:sz w:val="31"/>
          <w:szCs w:val="31"/>
          <w:lang w:val="en-US" w:eastAsia="zh-CN" w:bidi="ar"/>
        </w:rPr>
        <w:t>清洁取暖改造，城区优先发展热电联产集中供热，新建居住建筑同步设计安装太阳能光热或热泵系统。农村地区推广空气源热泵、地源热泵、生物质成型燃料锅炉等清洁取暖方式，提升清洁取暖供电保障能力。大力推进工业、建筑、交通等重点领域节能降碳，探索绿电直供新模式。积极开展光储充一体化虚拟电厂试点建设，提升源、网、荷各环节灵活调节能力。</w:t>
      </w:r>
    </w:p>
    <w:p w14:paraId="056EC791">
      <w:pPr>
        <w:pStyle w:val="7"/>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632" w:firstLineChars="200"/>
        <w:jc w:val="both"/>
        <w:textAlignment w:val="center"/>
        <w:rPr>
          <w:rFonts w:hint="default" w:ascii="Times New Roman" w:hAnsi="Times New Roman" w:eastAsia="黑体" w:cs="Times New Roman"/>
          <w:b w:val="0"/>
          <w:bCs/>
          <w:color w:val="auto"/>
          <w:sz w:val="32"/>
          <w:szCs w:val="32"/>
          <w:lang w:val="en-US" w:eastAsia="zh-CN"/>
        </w:rPr>
      </w:pPr>
      <w:bookmarkStart w:id="169" w:name="_Toc167"/>
      <w:bookmarkStart w:id="170" w:name="_Toc27115"/>
      <w:r>
        <w:rPr>
          <w:rFonts w:hint="default" w:ascii="Times New Roman" w:hAnsi="Times New Roman" w:eastAsia="黑体" w:cs="Times New Roman"/>
          <w:b w:val="0"/>
          <w:bCs/>
          <w:color w:val="auto"/>
          <w:sz w:val="32"/>
          <w:szCs w:val="32"/>
          <w:lang w:val="en-US" w:eastAsia="zh-CN"/>
        </w:rPr>
        <w:t>四、加速布局新型基础设施</w:t>
      </w:r>
      <w:bookmarkEnd w:id="169"/>
      <w:bookmarkEnd w:id="170"/>
    </w:p>
    <w:p w14:paraId="7177FC55">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b w:val="0"/>
          <w:bCs w:val="0"/>
          <w:i w:val="0"/>
          <w:iCs w:val="0"/>
          <w:caps w:val="0"/>
          <w:color w:val="auto"/>
          <w:spacing w:val="0"/>
          <w:sz w:val="32"/>
          <w:szCs w:val="32"/>
          <w:shd w:val="clear" w:color="auto" w:fill="FFFFFF"/>
          <w:lang w:val="en-US" w:eastAsia="zh-CN"/>
        </w:rPr>
      </w:pPr>
      <w:r>
        <w:rPr>
          <w:rFonts w:hint="default" w:ascii="Times New Roman" w:hAnsi="Times New Roman" w:eastAsia="楷体_GB2312" w:cs="Times New Roman"/>
          <w:b w:val="0"/>
          <w:bCs w:val="0"/>
          <w:color w:val="auto"/>
          <w:kern w:val="0"/>
          <w:sz w:val="32"/>
          <w:szCs w:val="32"/>
          <w:highlight w:val="none"/>
          <w:lang w:val="en-US" w:eastAsia="zh-CN" w:bidi="ar-SA"/>
        </w:rPr>
        <w:t>加强信息基础设施建设。</w:t>
      </w:r>
      <w:r>
        <w:rPr>
          <w:rFonts w:hint="default" w:ascii="Times New Roman" w:hAnsi="Times New Roman" w:eastAsia="仿宋_GB2312" w:cs="Times New Roman"/>
          <w:b w:val="0"/>
          <w:bCs w:val="0"/>
          <w:i w:val="0"/>
          <w:iCs w:val="0"/>
          <w:caps w:val="0"/>
          <w:color w:val="auto"/>
          <w:spacing w:val="0"/>
          <w:sz w:val="32"/>
          <w:szCs w:val="32"/>
          <w:shd w:val="clear" w:color="auto" w:fill="FFFFFF"/>
          <w:lang w:val="de-DE" w:eastAsia="de-DE"/>
        </w:rPr>
        <w:t>加强信息基础设施统筹、规划、建设与保护。加快5G网络建设与深度覆盖。深入实施</w:t>
      </w:r>
      <w:r>
        <w:rPr>
          <w:rFonts w:hint="eastAsia" w:cs="Times New Roman"/>
          <w:b w:val="0"/>
          <w:bCs w:val="0"/>
          <w:i w:val="0"/>
          <w:iCs w:val="0"/>
          <w:caps w:val="0"/>
          <w:color w:val="auto"/>
          <w:spacing w:val="0"/>
          <w:sz w:val="32"/>
          <w:szCs w:val="32"/>
          <w:shd w:val="clear" w:color="auto" w:fill="FFFFFF"/>
          <w:lang w:val="de-DE"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FFFFFF"/>
          <w:lang w:val="de-DE" w:eastAsia="de-DE"/>
        </w:rPr>
        <w:t>双千兆</w:t>
      </w:r>
      <w:r>
        <w:rPr>
          <w:rFonts w:hint="eastAsia" w:cs="Times New Roman"/>
          <w:b w:val="0"/>
          <w:bCs w:val="0"/>
          <w:i w:val="0"/>
          <w:iCs w:val="0"/>
          <w:caps w:val="0"/>
          <w:color w:val="auto"/>
          <w:spacing w:val="0"/>
          <w:sz w:val="32"/>
          <w:szCs w:val="32"/>
          <w:shd w:val="clear" w:color="auto" w:fill="FFFFFF"/>
          <w:lang w:val="de-DE"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FFFFFF"/>
          <w:lang w:val="de-DE" w:eastAsia="de-DE"/>
        </w:rPr>
        <w:t>工程，推进实施</w:t>
      </w:r>
      <w:r>
        <w:rPr>
          <w:rFonts w:hint="eastAsia" w:cs="Times New Roman"/>
          <w:b w:val="0"/>
          <w:bCs w:val="0"/>
          <w:i w:val="0"/>
          <w:iCs w:val="0"/>
          <w:caps w:val="0"/>
          <w:color w:val="auto"/>
          <w:spacing w:val="0"/>
          <w:sz w:val="32"/>
          <w:szCs w:val="32"/>
          <w:shd w:val="clear" w:color="auto" w:fill="FFFFFF"/>
          <w:lang w:val="de-DE"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FFFFFF"/>
          <w:lang w:val="de-DE" w:eastAsia="de-DE"/>
        </w:rPr>
        <w:t>万兆光网</w:t>
      </w:r>
      <w:r>
        <w:rPr>
          <w:rFonts w:hint="eastAsia" w:cs="Times New Roman"/>
          <w:b w:val="0"/>
          <w:bCs w:val="0"/>
          <w:i w:val="0"/>
          <w:iCs w:val="0"/>
          <w:caps w:val="0"/>
          <w:color w:val="auto"/>
          <w:spacing w:val="0"/>
          <w:sz w:val="32"/>
          <w:szCs w:val="32"/>
          <w:shd w:val="clear" w:color="auto" w:fill="FFFFFF"/>
          <w:lang w:val="de-DE"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FFFFFF"/>
          <w:lang w:val="de-DE" w:eastAsia="de-DE"/>
        </w:rPr>
        <w:t>工程，夯实全域光纤网络底座。稳步推进IPv6规模部署与融合应用，推动5G-A网络建设应用，前瞻布局6G网络。推进</w:t>
      </w:r>
      <w:r>
        <w:rPr>
          <w:rFonts w:hint="eastAsia" w:cs="Times New Roman"/>
          <w:b w:val="0"/>
          <w:bCs w:val="0"/>
          <w:i w:val="0"/>
          <w:iCs w:val="0"/>
          <w:caps w:val="0"/>
          <w:color w:val="auto"/>
          <w:spacing w:val="0"/>
          <w:sz w:val="32"/>
          <w:szCs w:val="32"/>
          <w:shd w:val="clear" w:color="auto" w:fill="FFFFFF"/>
          <w:lang w:val="de-DE"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FFFFFF"/>
          <w:lang w:val="de-DE" w:eastAsia="de-DE"/>
        </w:rPr>
        <w:t>数字乡村</w:t>
      </w:r>
      <w:r>
        <w:rPr>
          <w:rFonts w:hint="eastAsia" w:cs="Times New Roman"/>
          <w:b w:val="0"/>
          <w:bCs w:val="0"/>
          <w:i w:val="0"/>
          <w:iCs w:val="0"/>
          <w:caps w:val="0"/>
          <w:color w:val="auto"/>
          <w:spacing w:val="0"/>
          <w:sz w:val="32"/>
          <w:szCs w:val="32"/>
          <w:shd w:val="clear" w:color="auto" w:fill="FFFFFF"/>
          <w:lang w:val="de-DE"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FFFFFF"/>
          <w:lang w:val="de-DE" w:eastAsia="de-DE"/>
        </w:rPr>
        <w:t>建设，提升乡村信息基础设施建设水平，深化农村数字普惠服务，构建数字乡村发展信息化平台，推进村级站</w:t>
      </w:r>
      <w:r>
        <w:rPr>
          <w:rFonts w:hint="eastAsia" w:cs="Times New Roman"/>
          <w:b w:val="0"/>
          <w:bCs w:val="0"/>
          <w:i w:val="0"/>
          <w:iCs w:val="0"/>
          <w:caps w:val="0"/>
          <w:color w:val="auto"/>
          <w:spacing w:val="0"/>
          <w:sz w:val="32"/>
          <w:szCs w:val="32"/>
          <w:shd w:val="clear" w:color="auto" w:fill="FFFFFF"/>
          <w:lang w:val="de-DE"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FFFFFF"/>
          <w:lang w:val="de-DE" w:eastAsia="de-DE"/>
        </w:rPr>
        <w:t>智慧窗口</w:t>
      </w:r>
      <w:r>
        <w:rPr>
          <w:rFonts w:hint="eastAsia" w:cs="Times New Roman"/>
          <w:b w:val="0"/>
          <w:bCs w:val="0"/>
          <w:i w:val="0"/>
          <w:iCs w:val="0"/>
          <w:caps w:val="0"/>
          <w:color w:val="auto"/>
          <w:spacing w:val="0"/>
          <w:sz w:val="32"/>
          <w:szCs w:val="32"/>
          <w:shd w:val="clear" w:color="auto" w:fill="FFFFFF"/>
          <w:lang w:val="de-DE"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FFFFFF"/>
          <w:lang w:val="de-DE" w:eastAsia="de-DE"/>
        </w:rPr>
        <w:t>建设，开展数字乡村试点示范</w:t>
      </w:r>
      <w:r>
        <w:rPr>
          <w:rFonts w:hint="default" w:ascii="Times New Roman" w:hAnsi="Times New Roman" w:eastAsia="仿宋_GB2312" w:cs="Times New Roman"/>
          <w:b w:val="0"/>
          <w:bCs w:val="0"/>
          <w:i w:val="0"/>
          <w:iCs w:val="0"/>
          <w:caps w:val="0"/>
          <w:color w:val="auto"/>
          <w:spacing w:val="0"/>
          <w:sz w:val="32"/>
          <w:szCs w:val="32"/>
          <w:shd w:val="clear" w:color="auto" w:fill="FFFFFF"/>
          <w:lang w:val="en-US" w:eastAsia="zh-CN"/>
        </w:rPr>
        <w:t>。</w:t>
      </w:r>
    </w:p>
    <w:p w14:paraId="3D08233C">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b w:val="0"/>
          <w:bCs w:val="0"/>
          <w:i w:val="0"/>
          <w:iCs w:val="0"/>
          <w:caps w:val="0"/>
          <w:color w:val="auto"/>
          <w:spacing w:val="0"/>
          <w:sz w:val="32"/>
          <w:szCs w:val="32"/>
          <w:shd w:val="clear" w:color="auto" w:fill="FFFFFF"/>
          <w:rtl w:val="0"/>
          <w:lang w:val="en-US" w:eastAsia="zh-CN"/>
        </w:rPr>
      </w:pPr>
      <w:r>
        <w:rPr>
          <w:rFonts w:hint="default" w:ascii="Times New Roman" w:hAnsi="Times New Roman" w:eastAsia="楷体_GB2312" w:cs="Times New Roman"/>
          <w:b w:val="0"/>
          <w:bCs w:val="0"/>
          <w:color w:val="auto"/>
          <w:kern w:val="0"/>
          <w:sz w:val="32"/>
          <w:szCs w:val="32"/>
          <w:highlight w:val="none"/>
          <w:rtl w:val="0"/>
          <w:lang w:val="en-US" w:eastAsia="zh-CN" w:bidi="ar-SA"/>
        </w:rPr>
        <w:t>积极布局融合基础设施。</w:t>
      </w:r>
      <w:r>
        <w:rPr>
          <w:rFonts w:hint="default" w:ascii="Times New Roman" w:hAnsi="Times New Roman" w:eastAsia="仿宋_GB2312" w:cs="Times New Roman"/>
          <w:b w:val="0"/>
          <w:bCs w:val="0"/>
          <w:i w:val="0"/>
          <w:iCs w:val="0"/>
          <w:caps w:val="0"/>
          <w:color w:val="auto"/>
          <w:spacing w:val="0"/>
          <w:sz w:val="32"/>
          <w:szCs w:val="32"/>
          <w:shd w:val="clear" w:color="auto" w:fill="FFFFFF"/>
          <w:rtl w:val="0"/>
          <w:lang w:val="en-US" w:eastAsia="zh-CN"/>
        </w:rPr>
        <w:t>夯实感知基础，加快部署能源供应、城市管理、水利、生态、林业等领域的智能感知设备和运行监测终端，拓展建设智能网联交通设施、物流智能仓配中心、城市智慧停车平台等新型设施。深化市区共建共享，推进实景三维汉台建设，推动5G在政务、交通、教育、医疗、智慧城市等领域融合发展。完善传输处理体系，依托省级人工智能计算中心，部署IPv6网络及配套通信基础设施，构建高效互联的数据处理体系。</w:t>
      </w:r>
    </w:p>
    <w:tbl>
      <w:tblPr>
        <w:tblStyle w:val="15"/>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8"/>
      </w:tblGrid>
      <w:tr w14:paraId="092B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noWrap w:val="0"/>
            <w:vAlign w:val="top"/>
          </w:tcPr>
          <w:p w14:paraId="0214E5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专栏4-2  现代化基础设施建设工程</w:t>
            </w:r>
          </w:p>
        </w:tc>
      </w:tr>
      <w:tr w14:paraId="47EA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noWrap w:val="0"/>
            <w:vAlign w:val="top"/>
          </w:tcPr>
          <w:p w14:paraId="78D43AF6">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综合交通网络工程。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完善</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八纵六横</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普通公路网，提升干线公路通行能力</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提质改建县乡公路，促进区域与高速路网高效衔接。</w:t>
            </w:r>
            <w:r>
              <w:rPr>
                <w:rFonts w:hint="default" w:ascii="Times New Roman" w:hAnsi="Times New Roman" w:cs="Times New Roman"/>
                <w:b w:val="0"/>
                <w:bCs w:val="0"/>
                <w:color w:val="auto"/>
                <w:spacing w:val="0"/>
                <w:kern w:val="2"/>
                <w:sz w:val="24"/>
                <w:szCs w:val="24"/>
                <w:vertAlign w:val="baseline"/>
                <w:lang w:val="en-US" w:eastAsia="zh-CN" w:bidi="ar-SA"/>
              </w:rPr>
              <w:t>重点建设</w:t>
            </w:r>
            <w:r>
              <w:rPr>
                <w:rFonts w:hint="default" w:ascii="Times New Roman" w:hAnsi="Times New Roman" w:eastAsia="仿宋_GB2312" w:cs="Times New Roman"/>
                <w:b w:val="0"/>
                <w:bCs w:val="0"/>
                <w:color w:val="auto"/>
                <w:spacing w:val="0"/>
                <w:kern w:val="2"/>
                <w:sz w:val="24"/>
                <w:szCs w:val="24"/>
                <w:vertAlign w:val="baseline"/>
                <w:lang w:val="en-US" w:eastAsia="zh-CN" w:bidi="ar-SA"/>
              </w:rPr>
              <w:t>G244汉台至南郑公路改建工程（汉台段）</w:t>
            </w:r>
            <w:r>
              <w:rPr>
                <w:rFonts w:hint="default" w:ascii="Times New Roman" w:hAnsi="Times New Roman" w:cs="Times New Roman"/>
                <w:b w:val="0"/>
                <w:bCs w:val="0"/>
                <w:color w:val="auto"/>
                <w:spacing w:val="0"/>
                <w:kern w:val="2"/>
                <w:sz w:val="24"/>
                <w:szCs w:val="24"/>
                <w:vertAlign w:val="baseline"/>
                <w:lang w:val="en-US" w:eastAsia="zh-CN" w:bidi="ar-SA"/>
              </w:rPr>
              <w:t>、G108汉台区铺镇过境公路建设工程、西汉高速公路汉中东连接线汉台段路面改建提升工程、十天高速汉中北连接线路面改建提升工程、褒河右岸十天高速至阳安铁路桥段防洪工程、G316沥水沟至孙家沟公路路面改建提升、省道315沿线村内交通基础设施及配套提升、汉台区四合至繁荣公路改建、</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四好农村路</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道路提升</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汉中汽车站升级改造</w:t>
            </w:r>
            <w:r>
              <w:rPr>
                <w:rFonts w:hint="default" w:ascii="Times New Roman" w:hAnsi="Times New Roman" w:cs="Times New Roman"/>
                <w:b w:val="0"/>
                <w:bCs w:val="0"/>
                <w:color w:val="auto"/>
                <w:spacing w:val="0"/>
                <w:kern w:val="2"/>
                <w:sz w:val="24"/>
                <w:szCs w:val="24"/>
                <w:vertAlign w:val="baseline"/>
                <w:lang w:val="en-US" w:eastAsia="zh-CN" w:bidi="ar-SA"/>
              </w:rPr>
              <w:t>等项目。</w:t>
            </w:r>
          </w:p>
          <w:p w14:paraId="7A792C28">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水利基础设施工程。</w:t>
            </w:r>
            <w:r>
              <w:rPr>
                <w:rFonts w:hint="default" w:ascii="Times New Roman" w:hAnsi="Times New Roman" w:cs="Times New Roman"/>
                <w:b w:val="0"/>
                <w:bCs w:val="0"/>
                <w:color w:val="auto"/>
                <w:spacing w:val="0"/>
                <w:kern w:val="2"/>
                <w:sz w:val="24"/>
                <w:szCs w:val="24"/>
                <w:vertAlign w:val="baseline"/>
                <w:lang w:val="en-US" w:eastAsia="zh-CN" w:bidi="ar-SA"/>
              </w:rPr>
              <w:t>重点建</w:t>
            </w:r>
            <w:r>
              <w:rPr>
                <w:rFonts w:hint="default" w:ascii="Times New Roman" w:hAnsi="Times New Roman" w:eastAsia="仿宋_GB2312" w:cs="Times New Roman"/>
                <w:b w:val="0"/>
                <w:bCs w:val="0"/>
                <w:color w:val="auto"/>
                <w:spacing w:val="0"/>
                <w:kern w:val="2"/>
                <w:sz w:val="24"/>
                <w:szCs w:val="24"/>
                <w:vertAlign w:val="baseline"/>
                <w:lang w:val="en-US" w:eastAsia="zh-CN" w:bidi="ar-SA"/>
              </w:rPr>
              <w:t>设城市水系联通提升</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丹江口库区上游水质安全保障</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褒河干流防洪工程</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干沟河、潘家河等山洪沟治理工程、农村规模化工程以及并中改造、北部浅山丘陵片区引调水、青沙河流域排涝通道建设、汉江重要支流水环境综合整治、农田排涝及沟道治理工程、水库清淤等项目。</w:t>
            </w:r>
          </w:p>
          <w:p w14:paraId="73A05F54">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能源保障能力工程。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w:t>
            </w:r>
            <w:r>
              <w:rPr>
                <w:rFonts w:hint="default" w:ascii="Times New Roman" w:hAnsi="Times New Roman" w:cs="Times New Roman"/>
                <w:b w:val="0"/>
                <w:bCs w:val="0"/>
                <w:color w:val="auto"/>
                <w:spacing w:val="0"/>
                <w:kern w:val="2"/>
                <w:sz w:val="24"/>
                <w:szCs w:val="24"/>
                <w:vertAlign w:val="baseline"/>
                <w:lang w:val="en-US" w:eastAsia="zh-CN" w:bidi="ar-SA"/>
              </w:rPr>
              <w:t>推进</w:t>
            </w:r>
            <w:r>
              <w:rPr>
                <w:rFonts w:hint="default" w:ascii="Times New Roman" w:hAnsi="Times New Roman" w:eastAsia="仿宋_GB2312" w:cs="Times New Roman"/>
                <w:b w:val="0"/>
                <w:bCs w:val="0"/>
                <w:color w:val="auto"/>
                <w:spacing w:val="0"/>
                <w:kern w:val="2"/>
                <w:sz w:val="24"/>
                <w:szCs w:val="24"/>
                <w:vertAlign w:val="baseline"/>
                <w:lang w:val="en-US" w:eastAsia="zh-CN" w:bidi="ar-SA"/>
              </w:rPr>
              <w:t>汉台区</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天然气用户发展扩面提质</w:t>
            </w:r>
            <w:r>
              <w:rPr>
                <w:rFonts w:hint="eastAsia"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电力提升改造</w:t>
            </w:r>
            <w:r>
              <w:rPr>
                <w:rFonts w:hint="default" w:ascii="Times New Roman" w:hAnsi="Times New Roman" w:cs="Times New Roman"/>
                <w:b w:val="0"/>
                <w:bCs w:val="0"/>
                <w:color w:val="auto"/>
                <w:spacing w:val="0"/>
                <w:kern w:val="2"/>
                <w:sz w:val="24"/>
                <w:szCs w:val="24"/>
                <w:vertAlign w:val="baseline"/>
                <w:lang w:val="en-US" w:eastAsia="zh-CN" w:bidi="ar-SA"/>
              </w:rPr>
              <w:t>、陕西汉中光辉110千伏输变电、汉中750千伏变电站330千伏送出工程（汉台段）、中石油石马坡油库迁建、汉中中恒商贸有限公司LPG储配站改造、汉中益汉液化气有限公司4级液化石油气储配站等项目。</w:t>
            </w:r>
          </w:p>
          <w:p w14:paraId="25FD090F">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b/>
                <w:bCs/>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新型基础设施融合工程。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重点建设汉台区通信基站维护扩容及维修整治、易涝积水点智能化监管工程、储能充电综合服务站、充电基础设施体系一期等项目。</w:t>
            </w:r>
          </w:p>
        </w:tc>
      </w:tr>
    </w:tbl>
    <w:p w14:paraId="1A23F8FD">
      <w:pPr>
        <w:rPr>
          <w:rFonts w:hint="default" w:ascii="Times New Roman" w:hAnsi="Times New Roman" w:cs="Times New Roman"/>
          <w:color w:val="auto"/>
          <w:lang w:val="en-US" w:eastAsia="zh-CN"/>
        </w:rPr>
        <w:sectPr>
          <w:pgSz w:w="11906" w:h="16838"/>
          <w:pgMar w:top="2098" w:right="1474" w:bottom="1984" w:left="1587" w:header="851" w:footer="1304" w:gutter="0"/>
          <w:paperSrc/>
          <w:pgBorders>
            <w:top w:val="none" w:sz="0" w:space="0"/>
            <w:left w:val="none" w:sz="0" w:space="0"/>
            <w:bottom w:val="none" w:sz="0" w:space="0"/>
            <w:right w:val="none" w:sz="0" w:space="0"/>
          </w:pgBorders>
          <w:pgNumType w:fmt="decimal"/>
          <w:cols w:space="720" w:num="1"/>
          <w:rtlGutter w:val="0"/>
          <w:docGrid w:type="linesAndChars" w:linePitch="579" w:charSpace="-842"/>
        </w:sectPr>
      </w:pPr>
      <w:bookmarkStart w:id="171" w:name="_Toc1913"/>
      <w:bookmarkStart w:id="172" w:name="_Toc23756"/>
    </w:p>
    <w:p w14:paraId="081713F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bookmarkStart w:id="173" w:name="_Toc30417"/>
      <w:r>
        <w:rPr>
          <w:rFonts w:hint="eastAsia" w:ascii="方正小标宋简体" w:hAnsi="方正小标宋简体" w:eastAsia="方正小标宋简体" w:cs="方正小标宋简体"/>
          <w:sz w:val="44"/>
          <w:szCs w:val="44"/>
          <w:lang w:val="en-US" w:eastAsia="zh-CN"/>
        </w:rPr>
        <w:t>第五章  全面深化改革开放，</w:t>
      </w:r>
      <w:bookmarkEnd w:id="171"/>
      <w:bookmarkEnd w:id="172"/>
      <w:r>
        <w:rPr>
          <w:rFonts w:hint="eastAsia" w:ascii="方正小标宋简体" w:hAnsi="方正小标宋简体" w:eastAsia="方正小标宋简体" w:cs="方正小标宋简体"/>
          <w:sz w:val="44"/>
          <w:szCs w:val="44"/>
          <w:lang w:val="en-US" w:eastAsia="zh-CN"/>
        </w:rPr>
        <w:t>增强内生</w:t>
      </w:r>
    </w:p>
    <w:p w14:paraId="170BFD5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发展动力和活力</w:t>
      </w:r>
      <w:bookmarkEnd w:id="173"/>
    </w:p>
    <w:p w14:paraId="4DB1A0EC">
      <w:pPr>
        <w:keepNext w:val="0"/>
        <w:keepLines w:val="0"/>
        <w:pageBreakBefore w:val="0"/>
        <w:widowControl w:val="0"/>
        <w:numPr>
          <w:ilvl w:val="0"/>
          <w:numId w:val="0"/>
        </w:numPr>
        <w:kinsoku/>
        <w:wordWrap/>
        <w:overflowPunct/>
        <w:topLinePunct w:val="0"/>
        <w:autoSpaceDE/>
        <w:autoSpaceDN/>
        <w:bidi w:val="0"/>
        <w:adjustRightInd/>
        <w:snapToGrid/>
        <w:spacing w:line="576" w:lineRule="exact"/>
        <w:textAlignment w:val="auto"/>
        <w:rPr>
          <w:rFonts w:hint="default" w:ascii="Times New Roman" w:hAnsi="Times New Roman" w:eastAsia="仿宋_GB2312" w:cs="Times New Roman"/>
          <w:color w:val="auto"/>
          <w:kern w:val="2"/>
          <w:sz w:val="32"/>
          <w:szCs w:val="32"/>
          <w:highlight w:val="none"/>
          <w:lang w:val="en-US" w:eastAsia="zh-CN" w:bidi="ar-SA"/>
        </w:rPr>
      </w:pPr>
    </w:p>
    <w:p w14:paraId="4DA7E7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持续深化重点领域改革，打造一流营商环境，大力发展民营经济和开放型经济，全面激发和增强高质量发展</w:t>
      </w:r>
      <w:r>
        <w:rPr>
          <w:rFonts w:hint="default" w:ascii="Times New Roman" w:hAnsi="Times New Roman" w:cs="Times New Roman"/>
          <w:color w:val="auto"/>
          <w:kern w:val="2"/>
          <w:sz w:val="32"/>
          <w:szCs w:val="32"/>
          <w:highlight w:val="none"/>
          <w:lang w:val="en-US" w:eastAsia="zh-CN" w:bidi="ar-SA"/>
        </w:rPr>
        <w:t>动力和</w:t>
      </w:r>
      <w:r>
        <w:rPr>
          <w:rFonts w:hint="default" w:ascii="Times New Roman" w:hAnsi="Times New Roman" w:eastAsia="仿宋_GB2312" w:cs="Times New Roman"/>
          <w:color w:val="auto"/>
          <w:kern w:val="2"/>
          <w:sz w:val="32"/>
          <w:szCs w:val="32"/>
          <w:highlight w:val="none"/>
          <w:lang w:val="en-US" w:eastAsia="zh-CN" w:bidi="ar-SA"/>
        </w:rPr>
        <w:t>活力。</w:t>
      </w:r>
    </w:p>
    <w:p w14:paraId="47CC6FF0">
      <w:pPr>
        <w:pStyle w:val="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center"/>
        <w:rPr>
          <w:rFonts w:hint="eastAsia" w:ascii="CESI黑体-GB2312" w:hAnsi="CESI黑体-GB2312" w:eastAsia="CESI黑体-GB2312" w:cs="CESI黑体-GB2312"/>
          <w:b w:val="0"/>
          <w:bCs/>
          <w:color w:val="auto"/>
          <w:lang w:val="en-US" w:eastAsia="zh-CN"/>
        </w:rPr>
      </w:pPr>
      <w:bookmarkStart w:id="174" w:name="_Toc25509"/>
      <w:bookmarkStart w:id="175" w:name="_Toc21263"/>
      <w:bookmarkStart w:id="176" w:name="_Toc18127"/>
      <w:r>
        <w:rPr>
          <w:rFonts w:hint="eastAsia" w:ascii="CESI黑体-GB2312" w:hAnsi="CESI黑体-GB2312" w:eastAsia="CESI黑体-GB2312" w:cs="CESI黑体-GB2312"/>
          <w:b w:val="0"/>
          <w:bCs/>
          <w:color w:val="auto"/>
          <w:lang w:val="en-US" w:eastAsia="zh-CN"/>
        </w:rPr>
        <w:t>第一节  深化重点领域改革</w:t>
      </w:r>
      <w:bookmarkEnd w:id="174"/>
      <w:bookmarkEnd w:id="175"/>
      <w:bookmarkEnd w:id="176"/>
    </w:p>
    <w:p w14:paraId="230E83BA">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bookmarkStart w:id="177" w:name="_Toc30746"/>
      <w:r>
        <w:rPr>
          <w:rFonts w:hint="default" w:ascii="Times New Roman" w:hAnsi="Times New Roman" w:eastAsia="楷体_GB2312" w:cs="Times New Roman"/>
          <w:b w:val="0"/>
          <w:bCs w:val="0"/>
          <w:color w:val="auto"/>
          <w:sz w:val="32"/>
          <w:szCs w:val="32"/>
          <w:lang w:val="en-US" w:eastAsia="zh-CN"/>
        </w:rPr>
        <w:t>深化要素市场化改革。</w:t>
      </w:r>
      <w:r>
        <w:rPr>
          <w:rFonts w:hint="default" w:ascii="Times New Roman" w:hAnsi="Times New Roman" w:eastAsia="仿宋_GB2312" w:cs="Times New Roman"/>
          <w:color w:val="auto"/>
          <w:sz w:val="32"/>
          <w:szCs w:val="32"/>
          <w:lang w:val="en-US" w:eastAsia="zh-CN"/>
        </w:rPr>
        <w:t>发挥市场在资源配置中的决定性作用，提高要素配置效率和全要素生产率，盘活</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沉睡</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的要素资源，健全城乡融合发展机制，推动城乡要素平等交换、双向流动，增强农业农村发展活力。深化土地制度改革。推进农村集体经营性建设用地入市改革试点，建立以</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亩均效益为导向</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的综合评价机制。</w:t>
      </w:r>
      <w:r>
        <w:rPr>
          <w:rFonts w:hint="default" w:ascii="Times New Roman" w:hAnsi="Times New Roman" w:cs="Times New Roman"/>
          <w:color w:val="auto"/>
          <w:szCs w:val="32"/>
        </w:rPr>
        <w:t>引导劳动力要素合理畅通有序流动，畅通落户渠道，畅通职称评审渠道。完善多层次的资本市场制度。激发技术供给活力，促进科技成果转化。加快培育数据要素市场，全面提升数据要素价值。完善农产品价格形成机制，推进能源价格市场化，理顺医疗服务价格，创新公用事业和公益性服务价格管理。</w:t>
      </w:r>
    </w:p>
    <w:p w14:paraId="5573BFF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楷体_GB2312" w:cs="Times New Roman"/>
          <w:b w:val="0"/>
          <w:bCs w:val="0"/>
          <w:color w:val="auto"/>
          <w:sz w:val="32"/>
          <w:szCs w:val="32"/>
          <w:lang w:val="en-US" w:eastAsia="zh-CN"/>
        </w:rPr>
        <w:t>深化国资国企改革。</w:t>
      </w:r>
      <w:r>
        <w:rPr>
          <w:rFonts w:hint="default" w:ascii="Times New Roman" w:hAnsi="Times New Roman" w:eastAsia="仿宋_GB2312" w:cs="Times New Roman"/>
          <w:color w:val="auto"/>
          <w:sz w:val="32"/>
          <w:szCs w:val="32"/>
          <w:lang w:val="en-US" w:eastAsia="zh-CN"/>
        </w:rPr>
        <w:t>加快盘活存量国有资产，深化</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人事、薪酬、绩效</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三项制度改革，促进国企聚焦主责主业，提升核心竞争力</w:t>
      </w:r>
      <w:r>
        <w:rPr>
          <w:rFonts w:hint="default" w:ascii="Times New Roman" w:hAnsi="Times New Roman" w:cs="Times New Roman"/>
          <w:color w:val="auto"/>
          <w:sz w:val="32"/>
          <w:szCs w:val="32"/>
          <w:lang w:val="en-US" w:eastAsia="zh-CN"/>
        </w:rPr>
        <w:t>。</w:t>
      </w:r>
      <w:r>
        <w:rPr>
          <w:rFonts w:hint="default" w:ascii="Times New Roman" w:hAnsi="Times New Roman" w:eastAsia="仿宋_GB2312" w:cs="Times New Roman"/>
          <w:color w:val="auto"/>
          <w:kern w:val="2"/>
          <w:sz w:val="32"/>
          <w:szCs w:val="32"/>
          <w:highlight w:val="none"/>
          <w:lang w:val="en-US" w:eastAsia="zh-CN" w:bidi="ar-SA"/>
        </w:rPr>
        <w:t>加快完善现代企业制度，赋予企业在人才招聘、薪酬制度等</w:t>
      </w:r>
      <w:r>
        <w:rPr>
          <w:rFonts w:hint="default" w:ascii="Times New Roman" w:hAnsi="Times New Roman" w:cs="Times New Roman"/>
          <w:color w:val="auto"/>
          <w:kern w:val="2"/>
          <w:sz w:val="32"/>
          <w:szCs w:val="32"/>
          <w:highlight w:val="none"/>
          <w:lang w:val="en-US" w:eastAsia="zh-CN" w:bidi="ar-SA"/>
        </w:rPr>
        <w:t>方面</w:t>
      </w:r>
      <w:r>
        <w:rPr>
          <w:rFonts w:hint="default" w:ascii="Times New Roman" w:hAnsi="Times New Roman" w:eastAsia="仿宋_GB2312" w:cs="Times New Roman"/>
          <w:color w:val="auto"/>
          <w:kern w:val="2"/>
          <w:sz w:val="32"/>
          <w:szCs w:val="32"/>
          <w:highlight w:val="none"/>
          <w:lang w:val="en-US" w:eastAsia="zh-CN" w:bidi="ar-SA"/>
        </w:rPr>
        <w:t>更大自主权。</w:t>
      </w:r>
      <w:r>
        <w:rPr>
          <w:rFonts w:hint="default" w:ascii="Times New Roman" w:hAnsi="Times New Roman" w:eastAsia="仿宋_GB2312" w:cs="Times New Roman"/>
          <w:color w:val="auto"/>
          <w:sz w:val="32"/>
          <w:szCs w:val="32"/>
          <w:lang w:val="en-US" w:eastAsia="zh-CN"/>
        </w:rPr>
        <w:t>推动国有资本和国有企业做强做优做大。</w:t>
      </w:r>
      <w:r>
        <w:rPr>
          <w:rFonts w:hint="default" w:ascii="Times New Roman" w:hAnsi="Times New Roman" w:cs="Times New Roman"/>
          <w:color w:val="auto"/>
          <w:sz w:val="32"/>
          <w:szCs w:val="32"/>
          <w:lang w:val="en-US" w:eastAsia="zh-CN"/>
        </w:rPr>
        <w:t>支持</w:t>
      </w:r>
      <w:r>
        <w:rPr>
          <w:rFonts w:hint="default" w:ascii="Times New Roman" w:hAnsi="Times New Roman" w:cs="Times New Roman"/>
          <w:color w:val="auto"/>
          <w:kern w:val="0"/>
          <w:sz w:val="32"/>
          <w:szCs w:val="32"/>
          <w:highlight w:val="none"/>
          <w:lang w:val="en-US" w:eastAsia="zh-CN" w:bidi="ar-SA"/>
        </w:rPr>
        <w:t>产投集团、城发集团打造现代化综合型企业集团。</w:t>
      </w:r>
      <w:r>
        <w:rPr>
          <w:rFonts w:hint="default" w:ascii="Times New Roman" w:hAnsi="Times New Roman" w:eastAsia="仿宋_GB2312" w:cs="Times New Roman"/>
          <w:color w:val="auto"/>
          <w:kern w:val="2"/>
          <w:sz w:val="32"/>
          <w:szCs w:val="32"/>
          <w:highlight w:val="none"/>
          <w:lang w:val="en-US" w:eastAsia="zh-CN" w:bidi="ar-SA"/>
        </w:rPr>
        <w:t>鼓励国有资本以多种方式入股非国有企业，鼓励合资、合作发展混合所有制经济，促进各种所有制资本相互促进、共同发展。</w:t>
      </w:r>
    </w:p>
    <w:p w14:paraId="286BAF60">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rPr>
      </w:pPr>
      <w:r>
        <w:rPr>
          <w:rFonts w:hint="default" w:ascii="Times New Roman" w:hAnsi="Times New Roman" w:eastAsia="楷体_GB2312" w:cs="Times New Roman"/>
          <w:b w:val="0"/>
          <w:bCs w:val="0"/>
          <w:color w:val="auto"/>
          <w:sz w:val="32"/>
          <w:szCs w:val="32"/>
          <w:lang w:val="en-US" w:eastAsia="zh-CN"/>
        </w:rPr>
        <w:t>深化财税金融改革。</w:t>
      </w:r>
      <w:r>
        <w:rPr>
          <w:rFonts w:hint="default" w:ascii="Times New Roman" w:hAnsi="Times New Roman" w:eastAsia="仿宋_GB2312" w:cs="Times New Roman"/>
          <w:color w:val="auto"/>
          <w:sz w:val="32"/>
          <w:szCs w:val="32"/>
          <w:lang w:val="en-US" w:eastAsia="zh-CN"/>
        </w:rPr>
        <w:t>不断加强财政资源统筹，健全规范政府举债融资机制，大力发展绿色金融、普惠金融，增强公共服务保障能力。加快投融资改革。</w:t>
      </w:r>
      <w:r>
        <w:rPr>
          <w:rFonts w:hint="default" w:ascii="Times New Roman" w:hAnsi="Times New Roman" w:cs="Times New Roman"/>
          <w:color w:val="auto"/>
          <w:szCs w:val="32"/>
        </w:rPr>
        <w:t>推进城市基础设施、市政公共事业、社会事业向民营资本开放。创新</w:t>
      </w:r>
      <w:r>
        <w:rPr>
          <w:rFonts w:hint="eastAsia" w:cs="Times New Roman"/>
          <w:color w:val="auto"/>
          <w:szCs w:val="32"/>
          <w:lang w:eastAsia="zh-CN"/>
        </w:rPr>
        <w:t>“</w:t>
      </w:r>
      <w:r>
        <w:rPr>
          <w:rFonts w:hint="default" w:ascii="Times New Roman" w:hAnsi="Times New Roman" w:cs="Times New Roman"/>
          <w:color w:val="auto"/>
          <w:szCs w:val="32"/>
        </w:rPr>
        <w:t>政银担保</w:t>
      </w:r>
      <w:r>
        <w:rPr>
          <w:rFonts w:hint="eastAsia" w:cs="Times New Roman"/>
          <w:color w:val="auto"/>
          <w:szCs w:val="32"/>
          <w:lang w:eastAsia="zh-CN"/>
        </w:rPr>
        <w:t>”</w:t>
      </w:r>
      <w:r>
        <w:rPr>
          <w:rFonts w:hint="default" w:ascii="Times New Roman" w:hAnsi="Times New Roman" w:cs="Times New Roman"/>
          <w:color w:val="auto"/>
          <w:szCs w:val="32"/>
        </w:rPr>
        <w:t>合作模式，盘活存量资产、撬动社会资本。支持企业以商标专用权、股权、动产抵押等作为担保标的，引导企业通过私募股权投资、股权转让、融资租赁、票据、债券等方式直接融资。</w:t>
      </w:r>
    </w:p>
    <w:p w14:paraId="03D60E80">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kern w:val="0"/>
          <w:sz w:val="32"/>
          <w:szCs w:val="32"/>
          <w:lang w:val="en-US" w:eastAsia="zh-CN" w:bidi="ar"/>
        </w:rPr>
      </w:pPr>
      <w:r>
        <w:rPr>
          <w:rFonts w:hint="default" w:ascii="Times New Roman" w:hAnsi="Times New Roman" w:eastAsia="楷体_GB2312" w:cs="Times New Roman"/>
          <w:b w:val="0"/>
          <w:bCs w:val="0"/>
          <w:color w:val="auto"/>
          <w:sz w:val="32"/>
          <w:szCs w:val="32"/>
          <w:lang w:val="en-US" w:eastAsia="zh-CN"/>
        </w:rPr>
        <w:t>深度参与高标准市场体系建设。</w:t>
      </w:r>
      <w:r>
        <w:rPr>
          <w:rFonts w:hint="default" w:ascii="Times New Roman" w:hAnsi="Times New Roman" w:eastAsia="仿宋_GB2312" w:cs="Times New Roman"/>
          <w:i w:val="0"/>
          <w:iCs w:val="0"/>
          <w:caps w:val="0"/>
          <w:color w:val="auto"/>
          <w:spacing w:val="0"/>
          <w:sz w:val="32"/>
          <w:szCs w:val="32"/>
          <w:shd w:val="clear" w:color="auto" w:fill="FFFFFF"/>
        </w:rPr>
        <w:t>完善产权保护、市场准入、信息披露、社会信用、兼并重组、市场退出等制度，消除要素获取、资质认定、招标投标、政府采购等方面壁垒，</w:t>
      </w:r>
      <w:r>
        <w:rPr>
          <w:rFonts w:hint="default" w:ascii="Times New Roman" w:hAnsi="Times New Roman" w:cs="Times New Roman"/>
          <w:i w:val="0"/>
          <w:iCs w:val="0"/>
          <w:caps w:val="0"/>
          <w:color w:val="auto"/>
          <w:spacing w:val="0"/>
          <w:sz w:val="32"/>
          <w:szCs w:val="32"/>
          <w:shd w:val="clear" w:color="auto" w:fill="FFFFFF"/>
          <w:lang w:eastAsia="zh-CN"/>
        </w:rPr>
        <w:t>规范地方政府经济促进行为</w:t>
      </w:r>
      <w:r>
        <w:rPr>
          <w:rFonts w:hint="default" w:ascii="Times New Roman" w:hAnsi="Times New Roman" w:eastAsia="仿宋_GB2312" w:cs="Times New Roman"/>
          <w:i w:val="0"/>
          <w:iCs w:val="0"/>
          <w:caps w:val="0"/>
          <w:color w:val="auto"/>
          <w:spacing w:val="0"/>
          <w:sz w:val="32"/>
          <w:szCs w:val="32"/>
          <w:shd w:val="clear" w:color="auto" w:fill="FFFFFF"/>
        </w:rPr>
        <w:t>，破除地方保护和市场分割。</w:t>
      </w:r>
      <w:r>
        <w:rPr>
          <w:rFonts w:hint="default" w:ascii="Times New Roman" w:hAnsi="Times New Roman" w:eastAsia="仿宋_GB2312" w:cs="Times New Roman"/>
          <w:color w:val="auto"/>
          <w:kern w:val="0"/>
          <w:sz w:val="32"/>
          <w:szCs w:val="32"/>
          <w:lang w:val="en-US" w:eastAsia="zh-CN" w:bidi="ar"/>
        </w:rPr>
        <w:t>综合整治</w:t>
      </w:r>
      <w:r>
        <w:rPr>
          <w:rFonts w:hint="eastAsia"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内卷式</w:t>
      </w:r>
      <w:r>
        <w:rPr>
          <w:rFonts w:hint="eastAsia"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竞争。强化反垄断和反不正当竞争执法司法，形成优质优价、良性竞争的市场秩序。健全一体衔接的流通规则和标准，高标准联通市场设施，降低全社会物流成本。完善有利于统一大市场建设的统计、财税、考核制度，优化企业总部和分支机构、生产地和消费地利益分享。</w:t>
      </w:r>
    </w:p>
    <w:p w14:paraId="0C821F41">
      <w:pPr>
        <w:pStyle w:val="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center"/>
        <w:rPr>
          <w:rFonts w:hint="eastAsia" w:ascii="CESI黑体-GB2312" w:hAnsi="CESI黑体-GB2312" w:eastAsia="CESI黑体-GB2312" w:cs="CESI黑体-GB2312"/>
          <w:b w:val="0"/>
          <w:bCs/>
          <w:color w:val="auto"/>
          <w:sz w:val="32"/>
          <w:szCs w:val="32"/>
          <w:lang w:val="en-US" w:eastAsia="zh-CN"/>
        </w:rPr>
      </w:pPr>
      <w:bookmarkStart w:id="178" w:name="_Toc14482"/>
      <w:bookmarkStart w:id="179" w:name="_Toc14624"/>
      <w:bookmarkStart w:id="180" w:name="_Toc11236"/>
      <w:bookmarkStart w:id="181" w:name="_Toc16242"/>
      <w:r>
        <w:rPr>
          <w:rFonts w:hint="eastAsia" w:ascii="CESI黑体-GB2312" w:hAnsi="CESI黑体-GB2312" w:eastAsia="CESI黑体-GB2312" w:cs="CESI黑体-GB2312"/>
          <w:b w:val="0"/>
          <w:bCs/>
          <w:color w:val="auto"/>
          <w:sz w:val="32"/>
          <w:szCs w:val="32"/>
          <w:lang w:val="en-US" w:eastAsia="zh-CN"/>
        </w:rPr>
        <w:t>第二节  大力发展民营经济</w:t>
      </w:r>
      <w:bookmarkEnd w:id="178"/>
      <w:bookmarkEnd w:id="179"/>
      <w:bookmarkEnd w:id="180"/>
      <w:bookmarkEnd w:id="181"/>
    </w:p>
    <w:p w14:paraId="14C0AFCC">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提振民营经济发展信心。</w:t>
      </w:r>
      <w:r>
        <w:rPr>
          <w:rFonts w:hint="default" w:ascii="Times New Roman" w:hAnsi="Times New Roman" w:eastAsia="仿宋_GB2312" w:cs="Times New Roman"/>
          <w:color w:val="auto"/>
          <w:sz w:val="32"/>
          <w:szCs w:val="32"/>
          <w:lang w:val="en-US" w:eastAsia="zh-CN"/>
        </w:rPr>
        <w:t>坚持和落实</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两个毫不动摇</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，鼓励引导民营企业参与重大项目建设，支持民营企业牵头参与重大技术攻关。鼓励国有企业以及各行业、各领域龙头企业加强对民营企业新产品、新技术的应用。完善惠企政策直达快享、</w:t>
      </w:r>
      <w:r>
        <w:rPr>
          <w:rFonts w:hint="eastAsia" w:cs="Times New Roman"/>
          <w:color w:val="auto"/>
          <w:sz w:val="32"/>
          <w:szCs w:val="32"/>
          <w:lang w:val="en-US" w:eastAsia="zh-CN"/>
        </w:rPr>
        <w:t>“</w:t>
      </w:r>
      <w:r>
        <w:rPr>
          <w:rFonts w:hint="default" w:ascii="Times New Roman" w:hAnsi="Times New Roman" w:cs="Times New Roman"/>
          <w:color w:val="auto"/>
          <w:sz w:val="32"/>
          <w:szCs w:val="32"/>
          <w:lang w:val="en-US" w:eastAsia="zh-CN"/>
        </w:rPr>
        <w:t>免申即享</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机制。健全政企常态化问题协调沟通机制，推行</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一企一专员</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服务模式，持续深化助企纾困等活动。依法维护民营企业产权和企业家权益。大力弘扬企业家精神。加大对优秀民营企业和民营企业家的宣传力度，激发企业家干事创业热情。引导民营经济人士积极参与和兴办社会公益慈善事业，加强合规建设和廉洁风险防控，塑造爱国敬业、守法经营、创业创新、回报社会的典范。</w:t>
      </w:r>
    </w:p>
    <w:p w14:paraId="0064980C">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培育壮大民营经营主体。</w:t>
      </w:r>
      <w:r>
        <w:rPr>
          <w:rFonts w:hint="default" w:ascii="Times New Roman" w:hAnsi="Times New Roman" w:eastAsia="仿宋_GB2312" w:cs="Times New Roman"/>
          <w:color w:val="auto"/>
          <w:sz w:val="32"/>
          <w:szCs w:val="32"/>
          <w:lang w:val="en-US" w:eastAsia="zh-CN"/>
        </w:rPr>
        <w:t>加强汉台企业家队伍建设，分类分层建立优质民营</w:t>
      </w:r>
      <w:r>
        <w:rPr>
          <w:rFonts w:hint="default" w:ascii="Times New Roman" w:hAnsi="Times New Roman" w:cs="Times New Roman"/>
          <w:color w:val="auto"/>
          <w:sz w:val="32"/>
          <w:szCs w:val="32"/>
          <w:lang w:val="en-US" w:eastAsia="zh-CN"/>
        </w:rPr>
        <w:t>经营</w:t>
      </w:r>
      <w:r>
        <w:rPr>
          <w:rFonts w:hint="default" w:ascii="Times New Roman" w:hAnsi="Times New Roman" w:eastAsia="仿宋_GB2312" w:cs="Times New Roman"/>
          <w:color w:val="auto"/>
          <w:sz w:val="32"/>
          <w:szCs w:val="32"/>
          <w:lang w:val="en-US" w:eastAsia="zh-CN"/>
        </w:rPr>
        <w:t>主体梯度培育机制和民营企业培育库。加大骨干民营企业培育，帮助民营企业稳市场、稳订单、稳生产，支持有条件的民营企业通过上市、投资控股、强强联合、兼并重组等方式做强做大，成为</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链主型</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企业。加大创新型中小企业、专精特新</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小巨人</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企业、制造业隐形冠军和单项冠军企业的培育力度。全面落实</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个转企</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小升规</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优惠政策，支持个体工商户健康发展。依法打击蓄意炒作、造谣抹黑民营企业和民营企业家的</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网络黑嘴</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和</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黑色产业链</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w:t>
      </w:r>
    </w:p>
    <w:p w14:paraId="191C2224">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加大民营经济支持力度。</w:t>
      </w:r>
      <w:r>
        <w:rPr>
          <w:rFonts w:hint="default" w:ascii="Times New Roman" w:hAnsi="Times New Roman" w:eastAsia="仿宋_GB2312" w:cs="Times New Roman"/>
          <w:color w:val="auto"/>
          <w:sz w:val="32"/>
          <w:szCs w:val="32"/>
          <w:lang w:val="en-US" w:eastAsia="zh-CN"/>
        </w:rPr>
        <w:t>拓宽民营经济空间。对汉台区公共服务、基础设施等领域项目进行梳理筛选，常态化向社会公布鼓励民营企业进入的</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三张项目清单</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拓展民间资本投资领域。大力发展混合所有制经济，引导和鼓励国有资本通过参股、控股、资产收购等多种形式积极参与骨干民营企业改制。搭建政银企对接合作平台，引导金融机构增加首贷、信用贷、无还本续贷和中长期贷款，强化金融产品和服务创新，提高民营企业融资可获得性。支持符合条件的民营企业通过上市、发行债券等方式进行融资。全力帮助企业减负增效，优化涉企水、电、气、网等基础设施安装服务和质量供给，加大对生产经营暂时有困难但产品有市场、项目有前景、技术有竞争力的企业扶持力度。搭建汉台区民营企业诉求直通平台，建立</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诉求收集—快速分流—限期办理—反馈评价</w:t>
      </w:r>
      <w:r>
        <w:rPr>
          <w:rFonts w:hint="eastAsia"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的闭环管理机制，畅通政企沟通渠道。到2030年，民营经济占地区生产总值比重达到50%。</w:t>
      </w:r>
    </w:p>
    <w:p w14:paraId="06A09065">
      <w:pPr>
        <w:pStyle w:val="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center"/>
        <w:rPr>
          <w:rFonts w:hint="default" w:ascii="CESI黑体-GB2312" w:hAnsi="CESI黑体-GB2312" w:eastAsia="CESI黑体-GB2312" w:cs="CESI黑体-GB2312"/>
          <w:b w:val="0"/>
          <w:bCs/>
          <w:color w:val="auto"/>
          <w:sz w:val="32"/>
          <w:szCs w:val="32"/>
          <w:lang w:val="en-US" w:eastAsia="zh-CN"/>
        </w:rPr>
      </w:pPr>
      <w:bookmarkStart w:id="182" w:name="_Toc22551"/>
      <w:bookmarkStart w:id="183" w:name="_Toc7018"/>
      <w:bookmarkStart w:id="184" w:name="_Toc13709"/>
      <w:bookmarkStart w:id="185" w:name="_Toc23784"/>
      <w:r>
        <w:rPr>
          <w:rFonts w:hint="default" w:ascii="CESI黑体-GB2312" w:hAnsi="CESI黑体-GB2312" w:eastAsia="CESI黑体-GB2312" w:cs="CESI黑体-GB2312"/>
          <w:b w:val="0"/>
          <w:bCs/>
          <w:color w:val="auto"/>
          <w:sz w:val="32"/>
          <w:szCs w:val="32"/>
          <w:lang w:val="en-US" w:eastAsia="zh-CN"/>
        </w:rPr>
        <w:t>第三节  打造一流营商环境</w:t>
      </w:r>
      <w:bookmarkEnd w:id="182"/>
      <w:bookmarkEnd w:id="183"/>
      <w:bookmarkEnd w:id="184"/>
      <w:bookmarkEnd w:id="185"/>
    </w:p>
    <w:p w14:paraId="64880824">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pPr>
      <w:r>
        <w:rPr>
          <w:rFonts w:hint="default" w:ascii="Times New Roman" w:hAnsi="Times New Roman" w:eastAsia="楷体_GB2312" w:cs="Times New Roman"/>
          <w:b w:val="0"/>
          <w:bCs w:val="0"/>
          <w:color w:val="auto"/>
          <w:sz w:val="32"/>
          <w:szCs w:val="32"/>
          <w:rtl w:val="0"/>
          <w:lang w:val="en-US" w:eastAsia="zh-CN"/>
        </w:rPr>
        <w:t>打造更有活力的市场环境。</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加快融入和服务全国统一大市场建设，依法保护各类</w:t>
      </w:r>
      <w:r>
        <w:rPr>
          <w:rFonts w:hint="default" w:ascii="Times New Roman" w:hAnsi="Times New Roman" w:cs="Times New Roman"/>
          <w:i w:val="0"/>
          <w:iCs w:val="0"/>
          <w:caps w:val="0"/>
          <w:color w:val="auto"/>
          <w:spacing w:val="0"/>
          <w:sz w:val="32"/>
          <w:szCs w:val="32"/>
          <w:shd w:val="clear" w:color="auto" w:fill="FFFFFF"/>
          <w:rtl w:val="0"/>
          <w:lang w:val="en-US" w:eastAsia="zh-CN"/>
        </w:rPr>
        <w:t>经营</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主体产权和合法权益，深化地方</w:t>
      </w:r>
      <w:r>
        <w:rPr>
          <w:rFonts w:hint="default" w:ascii="Times New Roman" w:hAnsi="Times New Roman" w:cs="Times New Roman"/>
          <w:i w:val="0"/>
          <w:iCs w:val="0"/>
          <w:caps w:val="0"/>
          <w:color w:val="auto"/>
          <w:spacing w:val="0"/>
          <w:sz w:val="32"/>
          <w:szCs w:val="32"/>
          <w:shd w:val="clear" w:color="auto" w:fill="FFFFFF"/>
          <w:rtl w:val="0"/>
          <w:lang w:val="en-US" w:eastAsia="zh-CN"/>
        </w:rPr>
        <w:t>隐性壁垒</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清理整治，实施市场准入负面清单制度，按照</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全国一张清单</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推动</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非禁即入</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普遍落实。建立健全</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阳光交易</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制度，破除地方保护和区域壁垒，坚决整治资质资格、工程建设、招投标、政府采购、权益保护等方面的歧视性、隐蔽性限制，推动招投标和政府采购全流程电子化，持续降低制度性交易成本，激发市场活力和社会创造力，促进商品要素资源在更大范围内畅通流动。</w:t>
      </w:r>
    </w:p>
    <w:p w14:paraId="75A63D07">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pPr>
      <w:r>
        <w:rPr>
          <w:rFonts w:hint="default" w:ascii="Times New Roman" w:hAnsi="Times New Roman" w:eastAsia="楷体_GB2312" w:cs="Times New Roman"/>
          <w:b w:val="0"/>
          <w:bCs w:val="0"/>
          <w:color w:val="auto"/>
          <w:sz w:val="32"/>
          <w:szCs w:val="32"/>
          <w:rtl w:val="0"/>
          <w:lang w:val="en-US" w:eastAsia="zh-CN"/>
        </w:rPr>
        <w:t>打造公平公正的法治环境。</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规范涉企监管执法，深化跨部门综合监管，完善公平竞争审查制度，强化反垄断和反不正当竞争执法，全面推行行政执法</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四张清单</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和</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三项制度</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整治趋利执法、以罚代管、自由裁量权滥用等问题，实施包容审慎监管和柔性执法，建立健全</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法治体检</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常态化机制，畅通涉企案件绿色通道，开展涉企积案集中清理，依法平等保护各类</w:t>
      </w:r>
      <w:r>
        <w:rPr>
          <w:rFonts w:hint="default" w:ascii="Times New Roman" w:hAnsi="Times New Roman" w:cs="Times New Roman"/>
          <w:i w:val="0"/>
          <w:iCs w:val="0"/>
          <w:caps w:val="0"/>
          <w:color w:val="auto"/>
          <w:spacing w:val="0"/>
          <w:sz w:val="32"/>
          <w:szCs w:val="32"/>
          <w:shd w:val="clear" w:color="auto" w:fill="FFFFFF"/>
          <w:rtl w:val="0"/>
          <w:lang w:val="en-US" w:eastAsia="zh-CN"/>
        </w:rPr>
        <w:t>经营</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主体产权和合法权益。加强普法宣传，加大司法对破除地方保护的保障力度，营造稳定可预期的法治化营商环境。</w:t>
      </w:r>
    </w:p>
    <w:p w14:paraId="70931C6C">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pPr>
      <w:r>
        <w:rPr>
          <w:rFonts w:hint="default" w:ascii="Times New Roman" w:hAnsi="Times New Roman" w:eastAsia="楷体_GB2312" w:cs="Times New Roman"/>
          <w:b w:val="0"/>
          <w:bCs w:val="0"/>
          <w:color w:val="auto"/>
          <w:sz w:val="32"/>
          <w:szCs w:val="32"/>
          <w:rtl w:val="0"/>
          <w:lang w:val="en-US" w:eastAsia="zh-CN"/>
        </w:rPr>
        <w:t>打造诚实守信的信用环境。</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加快信用汉台建设，着力构建覆盖政府、经营主体、社会组织、自然人、司法体系等制度规则统一，共建共享共用的社会信用体系，推动社会信用体系与经济社会发展各方面各环节深度融合。夯实信用体系数据基础，强化信用信息归集共享，有序推动公共信用信息开放流通。建立健全守信激励和失信惩戒机制、信用修复、异议处置机制，积极构建以信用为基础的监管治理机制。探索推动金融、市场监管、医疗保障、医药招采、劳动保障等重点领域分级分类监管，提高社会信用体系市场化社会化水平。</w:t>
      </w:r>
    </w:p>
    <w:p w14:paraId="7DA704A6">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i w:val="0"/>
          <w:iCs w:val="0"/>
          <w:caps w:val="0"/>
          <w:color w:val="auto"/>
          <w:spacing w:val="0"/>
          <w:sz w:val="32"/>
          <w:szCs w:val="32"/>
          <w:shd w:val="clear" w:color="auto" w:fill="FFFFFF"/>
          <w:lang w:val="en-US" w:eastAsia="zh-CN"/>
        </w:rPr>
      </w:pPr>
      <w:r>
        <w:rPr>
          <w:rFonts w:hint="default" w:ascii="Times New Roman" w:hAnsi="Times New Roman" w:eastAsia="楷体_GB2312" w:cs="Times New Roman"/>
          <w:b w:val="0"/>
          <w:bCs w:val="0"/>
          <w:color w:val="auto"/>
          <w:sz w:val="32"/>
          <w:szCs w:val="32"/>
          <w:rtl w:val="0"/>
          <w:lang w:val="en-US" w:eastAsia="zh-CN"/>
        </w:rPr>
        <w:t>打造规范高效的政务环境。</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健全</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高效办成一件事</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重点事项清单管理机制和常态化推进机制，强化业务协同与数据共享，推动更多高频政务服务事项跨部门、跨层级、跨区域集成办理。加大电子证照、电子印章、电子档案广泛应用。拓展</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异地代收代办</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多地联办</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服务模式，力促更多事项</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一网通办</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，实现政务服务从</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能办</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向</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好办、易办</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转变。健全市场主体退出机制，推行企业注销</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一站式</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办理，大力破解</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繁慢卡</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努力实现</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简快顺</w:t>
      </w:r>
      <w:r>
        <w:rPr>
          <w:rFonts w:hint="eastAsia" w:cs="Times New Roman"/>
          <w:i w:val="0"/>
          <w:iCs w:val="0"/>
          <w:caps w:val="0"/>
          <w:color w:val="auto"/>
          <w:spacing w:val="0"/>
          <w:sz w:val="32"/>
          <w:szCs w:val="32"/>
          <w:shd w:val="clear" w:color="auto" w:fill="FFFFFF"/>
          <w:rtl w:val="0"/>
          <w:lang w:val="en-US" w:eastAsia="zh-CN"/>
        </w:rPr>
        <w:t>”</w:t>
      </w:r>
      <w:r>
        <w:rPr>
          <w:rFonts w:hint="default" w:ascii="Times New Roman" w:hAnsi="Times New Roman" w:cs="Times New Roman"/>
          <w:i w:val="0"/>
          <w:iCs w:val="0"/>
          <w:caps w:val="0"/>
          <w:color w:val="auto"/>
          <w:spacing w:val="0"/>
          <w:sz w:val="32"/>
          <w:szCs w:val="32"/>
          <w:shd w:val="clear" w:color="auto" w:fill="FFFFFF"/>
          <w:rtl w:val="0"/>
          <w:lang w:val="en-US" w:eastAsia="zh-CN"/>
        </w:rPr>
        <w:t>，</w:t>
      </w:r>
      <w:r>
        <w:rPr>
          <w:rFonts w:hint="default" w:ascii="Times New Roman" w:hAnsi="Times New Roman" w:eastAsia="仿宋_GB2312" w:cs="Times New Roman"/>
          <w:i w:val="0"/>
          <w:iCs w:val="0"/>
          <w:caps w:val="0"/>
          <w:color w:val="auto"/>
          <w:spacing w:val="0"/>
          <w:sz w:val="32"/>
          <w:szCs w:val="32"/>
          <w:shd w:val="clear" w:color="auto" w:fill="FFFFFF"/>
          <w:rtl w:val="0"/>
          <w:lang w:val="en-US" w:eastAsia="zh-CN"/>
        </w:rPr>
        <w:t>全面提升审批服务效能，推动企业群众办事时间持续压减、满意度持续提升、体验感持续向好。</w:t>
      </w:r>
    </w:p>
    <w:p w14:paraId="01017A82">
      <w:pPr>
        <w:pStyle w:val="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center"/>
        <w:rPr>
          <w:rFonts w:hint="default" w:ascii="CESI黑体-GB2312" w:hAnsi="CESI黑体-GB2312" w:eastAsia="CESI黑体-GB2312" w:cs="CESI黑体-GB2312"/>
          <w:b w:val="0"/>
          <w:bCs/>
          <w:color w:val="auto"/>
          <w:sz w:val="32"/>
          <w:szCs w:val="32"/>
          <w:lang w:val="en-US" w:eastAsia="zh-CN"/>
        </w:rPr>
      </w:pPr>
      <w:bookmarkStart w:id="186" w:name="_Toc22203"/>
      <w:bookmarkStart w:id="187" w:name="_Toc17569"/>
      <w:bookmarkStart w:id="188" w:name="_Toc30573"/>
      <w:bookmarkStart w:id="189" w:name="_Toc10304"/>
      <w:r>
        <w:rPr>
          <w:rFonts w:hint="default" w:ascii="CESI黑体-GB2312" w:hAnsi="CESI黑体-GB2312" w:eastAsia="CESI黑体-GB2312" w:cs="CESI黑体-GB2312"/>
          <w:b w:val="0"/>
          <w:bCs/>
          <w:color w:val="auto"/>
          <w:sz w:val="32"/>
          <w:szCs w:val="32"/>
          <w:lang w:val="en-US" w:eastAsia="zh-CN"/>
        </w:rPr>
        <w:t>第四节  加强对外交流合作</w:t>
      </w:r>
      <w:bookmarkEnd w:id="186"/>
      <w:bookmarkEnd w:id="187"/>
      <w:bookmarkEnd w:id="188"/>
      <w:bookmarkEnd w:id="189"/>
    </w:p>
    <w:p w14:paraId="6AA18599">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pacing w:val="-6"/>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rtl w:val="0"/>
          <w:lang w:val="en-US" w:eastAsia="zh-CN" w:bidi="ar-SA"/>
        </w:rPr>
        <w:t>深化与周边区县联动发展。</w:t>
      </w:r>
      <w:r>
        <w:rPr>
          <w:rFonts w:hint="default" w:ascii="Times New Roman" w:hAnsi="Times New Roman" w:cs="Times New Roman"/>
          <w:color w:val="auto"/>
          <w:spacing w:val="-6"/>
          <w:kern w:val="2"/>
          <w:sz w:val="32"/>
          <w:szCs w:val="32"/>
          <w:highlight w:val="none"/>
          <w:lang w:val="en-US" w:eastAsia="zh-CN" w:bidi="ar-SA"/>
        </w:rPr>
        <w:t>加强</w:t>
      </w:r>
      <w:r>
        <w:rPr>
          <w:rFonts w:hint="default" w:ascii="Times New Roman" w:hAnsi="Times New Roman" w:eastAsia="仿宋_GB2312" w:cs="Times New Roman"/>
          <w:color w:val="auto"/>
          <w:spacing w:val="-6"/>
          <w:kern w:val="2"/>
          <w:sz w:val="32"/>
          <w:szCs w:val="32"/>
          <w:highlight w:val="none"/>
          <w:lang w:val="en-US" w:eastAsia="zh-CN" w:bidi="ar-SA"/>
        </w:rPr>
        <w:t>与周边</w:t>
      </w:r>
      <w:r>
        <w:rPr>
          <w:rFonts w:hint="default" w:ascii="Times New Roman" w:hAnsi="Times New Roman" w:cs="Times New Roman"/>
          <w:color w:val="auto"/>
          <w:spacing w:val="-6"/>
          <w:kern w:val="2"/>
          <w:sz w:val="32"/>
          <w:szCs w:val="32"/>
          <w:highlight w:val="none"/>
          <w:lang w:val="en-US" w:eastAsia="zh-CN" w:bidi="ar-SA"/>
        </w:rPr>
        <w:t>区县</w:t>
      </w:r>
      <w:r>
        <w:rPr>
          <w:rFonts w:hint="default" w:ascii="Times New Roman" w:hAnsi="Times New Roman" w:eastAsia="仿宋_GB2312" w:cs="Times New Roman"/>
          <w:color w:val="auto"/>
          <w:spacing w:val="-6"/>
          <w:kern w:val="2"/>
          <w:sz w:val="32"/>
          <w:szCs w:val="32"/>
          <w:highlight w:val="none"/>
          <w:lang w:val="en-US" w:eastAsia="zh-CN" w:bidi="ar-SA"/>
        </w:rPr>
        <w:t>在现代产业协同、生态环境</w:t>
      </w:r>
      <w:r>
        <w:rPr>
          <w:rFonts w:hint="default" w:ascii="Times New Roman" w:hAnsi="Times New Roman" w:cs="Times New Roman"/>
          <w:color w:val="auto"/>
          <w:spacing w:val="-6"/>
          <w:kern w:val="2"/>
          <w:sz w:val="32"/>
          <w:szCs w:val="32"/>
          <w:highlight w:val="none"/>
          <w:lang w:val="en-US" w:eastAsia="zh-CN" w:bidi="ar-SA"/>
        </w:rPr>
        <w:t>共</w:t>
      </w:r>
      <w:r>
        <w:rPr>
          <w:rFonts w:hint="default" w:ascii="Times New Roman" w:hAnsi="Times New Roman" w:eastAsia="仿宋_GB2312" w:cs="Times New Roman"/>
          <w:color w:val="auto"/>
          <w:spacing w:val="-6"/>
          <w:kern w:val="2"/>
          <w:sz w:val="32"/>
          <w:szCs w:val="32"/>
          <w:highlight w:val="none"/>
          <w:lang w:val="en-US" w:eastAsia="zh-CN" w:bidi="ar-SA"/>
        </w:rPr>
        <w:t>治、公共服务共享等方面合作，推动开放迈上新台阶。以</w:t>
      </w:r>
      <w:r>
        <w:rPr>
          <w:rFonts w:hint="default" w:ascii="Times New Roman" w:hAnsi="Times New Roman" w:cs="Times New Roman"/>
          <w:color w:val="auto"/>
          <w:spacing w:val="-6"/>
          <w:kern w:val="2"/>
          <w:sz w:val="32"/>
          <w:szCs w:val="32"/>
          <w:highlight w:val="none"/>
          <w:lang w:val="en-US" w:eastAsia="zh-CN" w:bidi="ar-SA"/>
        </w:rPr>
        <w:t>文化旅游、装备制造、绿色食药、都市农业等为重点，</w:t>
      </w:r>
      <w:r>
        <w:rPr>
          <w:rFonts w:hint="default" w:ascii="Times New Roman" w:hAnsi="Times New Roman" w:eastAsia="仿宋_GB2312" w:cs="Times New Roman"/>
          <w:color w:val="auto"/>
          <w:spacing w:val="-6"/>
          <w:kern w:val="2"/>
          <w:sz w:val="32"/>
          <w:szCs w:val="32"/>
          <w:highlight w:val="none"/>
          <w:lang w:val="en-US" w:eastAsia="zh-CN" w:bidi="ar-SA"/>
        </w:rPr>
        <w:t>通过跨区域协同和政策支持，构建具有秦巴区域特色的现代化产业体系</w:t>
      </w:r>
      <w:r>
        <w:rPr>
          <w:rFonts w:hint="default" w:ascii="Times New Roman" w:hAnsi="Times New Roman" w:cs="Times New Roman"/>
          <w:color w:val="auto"/>
          <w:spacing w:val="-6"/>
          <w:kern w:val="2"/>
          <w:sz w:val="32"/>
          <w:szCs w:val="32"/>
          <w:highlight w:val="none"/>
          <w:lang w:val="en-US" w:eastAsia="zh-CN" w:bidi="ar-SA"/>
        </w:rPr>
        <w:t>，积极打造</w:t>
      </w:r>
      <w:r>
        <w:rPr>
          <w:rFonts w:hint="eastAsia" w:cs="Times New Roman"/>
          <w:color w:val="auto"/>
          <w:spacing w:val="-6"/>
          <w:kern w:val="2"/>
          <w:sz w:val="32"/>
          <w:szCs w:val="32"/>
          <w:highlight w:val="none"/>
          <w:lang w:val="en-US" w:eastAsia="zh-CN" w:bidi="ar-SA"/>
        </w:rPr>
        <w:t>“</w:t>
      </w:r>
      <w:r>
        <w:rPr>
          <w:rFonts w:hint="default" w:ascii="Times New Roman" w:hAnsi="Times New Roman" w:cs="Times New Roman"/>
          <w:color w:val="auto"/>
          <w:spacing w:val="-6"/>
          <w:kern w:val="2"/>
          <w:sz w:val="32"/>
          <w:szCs w:val="32"/>
          <w:highlight w:val="none"/>
          <w:lang w:val="en-US" w:eastAsia="zh-CN" w:bidi="ar-SA"/>
        </w:rPr>
        <w:t>飞地园区</w:t>
      </w:r>
      <w:r>
        <w:rPr>
          <w:rFonts w:hint="eastAsia" w:cs="Times New Roman"/>
          <w:color w:val="auto"/>
          <w:spacing w:val="-6"/>
          <w:kern w:val="2"/>
          <w:sz w:val="32"/>
          <w:szCs w:val="32"/>
          <w:highlight w:val="none"/>
          <w:lang w:val="en-US" w:eastAsia="zh-CN" w:bidi="ar-SA"/>
        </w:rPr>
        <w:t>”</w:t>
      </w:r>
      <w:r>
        <w:rPr>
          <w:rFonts w:hint="default" w:ascii="Times New Roman" w:hAnsi="Times New Roman"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打造</w:t>
      </w:r>
      <w:r>
        <w:rPr>
          <w:rFonts w:hint="default" w:ascii="Times New Roman" w:hAnsi="Times New Roman" w:cs="Times New Roman"/>
          <w:color w:val="auto"/>
          <w:spacing w:val="-6"/>
          <w:kern w:val="2"/>
          <w:sz w:val="32"/>
          <w:szCs w:val="32"/>
          <w:highlight w:val="none"/>
          <w:lang w:val="en-US" w:eastAsia="zh-CN" w:bidi="ar-SA"/>
        </w:rPr>
        <w:t>区域</w:t>
      </w:r>
      <w:r>
        <w:rPr>
          <w:rFonts w:hint="default" w:ascii="Times New Roman" w:hAnsi="Times New Roman" w:eastAsia="仿宋_GB2312" w:cs="Times New Roman"/>
          <w:color w:val="auto"/>
          <w:spacing w:val="-6"/>
          <w:kern w:val="2"/>
          <w:sz w:val="32"/>
          <w:szCs w:val="32"/>
          <w:highlight w:val="none"/>
          <w:lang w:val="en-US" w:eastAsia="zh-CN" w:bidi="ar-SA"/>
        </w:rPr>
        <w:t>经济</w:t>
      </w:r>
      <w:r>
        <w:rPr>
          <w:rFonts w:hint="default" w:ascii="Times New Roman" w:hAnsi="Times New Roman" w:cs="Times New Roman"/>
          <w:color w:val="auto"/>
          <w:spacing w:val="-6"/>
          <w:kern w:val="2"/>
          <w:sz w:val="32"/>
          <w:szCs w:val="32"/>
          <w:highlight w:val="none"/>
          <w:lang w:val="en-US" w:eastAsia="zh-CN" w:bidi="ar-SA"/>
        </w:rPr>
        <w:t>高质量发展引领区。</w:t>
      </w:r>
      <w:r>
        <w:rPr>
          <w:rFonts w:hint="default" w:ascii="Times New Roman" w:hAnsi="Times New Roman" w:eastAsia="仿宋_GB2312" w:cs="Times New Roman"/>
          <w:color w:val="auto"/>
          <w:spacing w:val="-6"/>
          <w:kern w:val="2"/>
          <w:sz w:val="32"/>
          <w:szCs w:val="32"/>
          <w:highlight w:val="none"/>
          <w:lang w:val="en-US" w:eastAsia="zh-CN" w:bidi="ar-SA"/>
        </w:rPr>
        <w:t>共筑</w:t>
      </w:r>
      <w:r>
        <w:rPr>
          <w:rFonts w:hint="default" w:ascii="Times New Roman" w:hAnsi="Times New Roman" w:cs="Times New Roman"/>
          <w:color w:val="auto"/>
          <w:spacing w:val="-6"/>
          <w:kern w:val="2"/>
          <w:sz w:val="32"/>
          <w:szCs w:val="32"/>
          <w:highlight w:val="none"/>
          <w:lang w:val="en-US" w:eastAsia="zh-CN" w:bidi="ar-SA"/>
        </w:rPr>
        <w:t>秦岭</w:t>
      </w:r>
      <w:r>
        <w:rPr>
          <w:rFonts w:hint="default" w:ascii="Times New Roman" w:hAnsi="Times New Roman" w:eastAsia="仿宋_GB2312" w:cs="Times New Roman"/>
          <w:color w:val="auto"/>
          <w:spacing w:val="-6"/>
          <w:kern w:val="2"/>
          <w:sz w:val="32"/>
          <w:szCs w:val="32"/>
          <w:highlight w:val="none"/>
          <w:lang w:val="en-US" w:eastAsia="zh-CN" w:bidi="ar-SA"/>
        </w:rPr>
        <w:t>绿色生态屏障</w:t>
      </w:r>
      <w:r>
        <w:rPr>
          <w:rFonts w:hint="default" w:ascii="Times New Roman" w:hAnsi="Times New Roman" w:cs="Times New Roman"/>
          <w:color w:val="auto"/>
          <w:spacing w:val="-6"/>
          <w:kern w:val="2"/>
          <w:sz w:val="32"/>
          <w:szCs w:val="32"/>
          <w:highlight w:val="none"/>
          <w:lang w:val="en-US" w:eastAsia="zh-CN" w:bidi="ar-SA"/>
        </w:rPr>
        <w:t>，协力建设环境优美、绿色低碳、宜居宜游的生态城市。深入推进区域基本公共服务标准化、均等化、普惠化、便捷化，提升公共服务跨区域共享服务水平。</w:t>
      </w:r>
    </w:p>
    <w:p w14:paraId="331269B7">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lang w:val="en-US" w:eastAsia="zh-CN"/>
        </w:rPr>
      </w:pPr>
      <w:r>
        <w:rPr>
          <w:rFonts w:hint="default" w:ascii="Times New Roman" w:hAnsi="Times New Roman" w:eastAsia="楷体_GB2312" w:cs="Times New Roman"/>
          <w:b w:val="0"/>
          <w:bCs w:val="0"/>
          <w:color w:val="auto"/>
          <w:kern w:val="2"/>
          <w:sz w:val="32"/>
          <w:szCs w:val="32"/>
          <w:highlight w:val="none"/>
          <w:rtl w:val="0"/>
          <w:lang w:val="en-US" w:eastAsia="zh-CN" w:bidi="ar-SA"/>
        </w:rPr>
        <w:t>深度融入汉中</w:t>
      </w:r>
      <w:r>
        <w:rPr>
          <w:rFonts w:hint="eastAsia" w:ascii="Times New Roman" w:hAnsi="Times New Roman" w:eastAsia="楷体_GB2312" w:cs="Times New Roman"/>
          <w:b w:val="0"/>
          <w:bCs w:val="0"/>
          <w:color w:val="auto"/>
          <w:kern w:val="2"/>
          <w:sz w:val="32"/>
          <w:szCs w:val="32"/>
          <w:highlight w:val="none"/>
          <w:rtl w:val="0"/>
          <w:lang w:val="en-US" w:eastAsia="zh-CN" w:bidi="ar-SA"/>
        </w:rPr>
        <w:t>——</w:t>
      </w:r>
      <w:r>
        <w:rPr>
          <w:rFonts w:hint="default" w:ascii="Times New Roman" w:hAnsi="Times New Roman" w:eastAsia="楷体_GB2312" w:cs="Times New Roman"/>
          <w:b w:val="0"/>
          <w:bCs w:val="0"/>
          <w:color w:val="auto"/>
          <w:kern w:val="2"/>
          <w:sz w:val="32"/>
          <w:szCs w:val="32"/>
          <w:highlight w:val="none"/>
          <w:rtl w:val="0"/>
          <w:lang w:val="en-US" w:eastAsia="zh-CN" w:bidi="ar-SA"/>
        </w:rPr>
        <w:t>西安协同发展。</w:t>
      </w:r>
      <w:r>
        <w:rPr>
          <w:rFonts w:hint="default" w:ascii="Times New Roman" w:hAnsi="Times New Roman" w:cs="Times New Roman"/>
          <w:color w:val="auto"/>
          <w:szCs w:val="32"/>
        </w:rPr>
        <w:t>利用好西安大龙头、大枢纽、大平台、大市场的辐射带动作用，</w:t>
      </w:r>
      <w:r>
        <w:rPr>
          <w:rFonts w:hint="default" w:ascii="Times New Roman" w:hAnsi="Times New Roman" w:cs="Times New Roman"/>
          <w:color w:val="auto"/>
          <w:szCs w:val="32"/>
          <w:lang w:val="en-US" w:eastAsia="zh-CN"/>
        </w:rPr>
        <w:t>围绕主导产业、科技创新、基础设施、生态环境等领域，谋划一批重大合作项目，推动打造汉中－西安一小时经济圈，引领关中陕南融合发展。推进西汉蓉航空产业带建设，聚焦航空、军工、生物医药等领域，深度开展协同创新和产业协作，积极承接西安装备制造、电子信息、现代医药、纺织服装等技术密集型、劳动密集型产业转移。推动汉台绿色食药产品进入西安主流消费市场。推动文化旅游协作共融。加大汉文化发掘力度，与西安、咸阳共构周秦汉唐文化矩阵和丝绸之路文化圈，持续拓展文旅融合与消费引流路径。打造红色旅游线路、秦岭山地康养度假线路等精品线路，开发</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一日游</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多日游</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等特色旅游产品。推动组建旅游联盟，推动景点接驳互联、一票通行，联合举办文旅产业发展论坛和项目推介会，促进市场互推、客源互信息互享。全方位融入西安</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双中心</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建设，搭建</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飞地创新</w:t>
      </w:r>
      <w:r>
        <w:rPr>
          <w:rFonts w:hint="eastAsia" w:cs="Times New Roman"/>
          <w:color w:val="auto"/>
          <w:szCs w:val="32"/>
          <w:lang w:val="en-US" w:eastAsia="zh-CN"/>
        </w:rPr>
        <w:t>”</w:t>
      </w:r>
      <w:r>
        <w:rPr>
          <w:rFonts w:hint="default" w:ascii="Times New Roman" w:hAnsi="Times New Roman" w:cs="Times New Roman"/>
          <w:color w:val="auto"/>
          <w:szCs w:val="32"/>
          <w:lang w:val="en-US" w:eastAsia="zh-CN"/>
        </w:rPr>
        <w:t>平台，支持本地企业与西安科技领军企业、高校和科研院所科技成果供需精准对接，主动承接西安科创资源外溢。</w:t>
      </w:r>
    </w:p>
    <w:p w14:paraId="5DFB4830">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zCs w:val="32"/>
          <w:lang w:val="en-US" w:eastAsia="zh-CN"/>
        </w:rPr>
      </w:pPr>
      <w:r>
        <w:rPr>
          <w:rFonts w:hint="default" w:ascii="Times New Roman" w:hAnsi="Times New Roman" w:eastAsia="楷体_GB2312" w:cs="Times New Roman"/>
          <w:b w:val="0"/>
          <w:bCs w:val="0"/>
          <w:color w:val="auto"/>
          <w:kern w:val="2"/>
          <w:sz w:val="32"/>
          <w:szCs w:val="32"/>
          <w:highlight w:val="none"/>
          <w:rtl w:val="0"/>
          <w:lang w:val="en-US" w:eastAsia="zh-CN" w:bidi="ar-SA"/>
        </w:rPr>
        <w:t>深度融入成渝地区双城经济圈。</w:t>
      </w:r>
      <w:r>
        <w:rPr>
          <w:rFonts w:hint="default" w:ascii="Times New Roman" w:hAnsi="Times New Roman" w:cs="Times New Roman"/>
          <w:color w:val="auto"/>
          <w:szCs w:val="32"/>
          <w:lang w:val="en-US" w:eastAsia="zh-CN"/>
        </w:rPr>
        <w:t>主动接受成都、重庆中心城市辐射，积极承接高端装备制造、生物医药、清洁能源等战略性新兴产业转移，推动要素互通互补、人文交流联动、产业链群互补，加快打造城市群联动发展的战略枢纽。</w:t>
      </w:r>
    </w:p>
    <w:p w14:paraId="56D55D94">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cs="Times New Roman"/>
          <w:color w:val="auto"/>
          <w:spacing w:val="15"/>
          <w:szCs w:val="32"/>
          <w:shd w:val="clear" w:color="auto" w:fill="FFFFFF"/>
        </w:rPr>
      </w:pPr>
      <w:r>
        <w:rPr>
          <w:rFonts w:hint="default" w:ascii="Times New Roman" w:hAnsi="Times New Roman" w:eastAsia="楷体_GB2312" w:cs="Times New Roman"/>
          <w:b w:val="0"/>
          <w:bCs w:val="0"/>
          <w:color w:val="auto"/>
          <w:kern w:val="2"/>
          <w:sz w:val="32"/>
          <w:szCs w:val="32"/>
          <w:highlight w:val="none"/>
          <w:rtl w:val="0"/>
          <w:lang w:val="en-US" w:eastAsia="zh-CN" w:bidi="ar-SA"/>
        </w:rPr>
        <w:t>共建汉江生态经济走廊。</w:t>
      </w:r>
      <w:r>
        <w:rPr>
          <w:rFonts w:hint="default" w:ascii="Times New Roman" w:hAnsi="Times New Roman" w:cs="Times New Roman"/>
          <w:color w:val="auto"/>
          <w:szCs w:val="32"/>
        </w:rPr>
        <w:t>与安康、商洛、十堰等周边县市协作联合，</w:t>
      </w:r>
      <w:r>
        <w:rPr>
          <w:rFonts w:hint="default" w:ascii="Times New Roman" w:hAnsi="Times New Roman" w:eastAsia="仿宋_GB2312" w:cs="Times New Roman"/>
          <w:color w:val="auto"/>
          <w:szCs w:val="32"/>
          <w:lang w:val="en-US" w:eastAsia="zh-CN"/>
        </w:rPr>
        <w:t>扩大文化旅游、</w:t>
      </w:r>
      <w:r>
        <w:rPr>
          <w:rFonts w:hint="default" w:ascii="Times New Roman" w:hAnsi="Times New Roman" w:cs="Times New Roman"/>
          <w:color w:val="auto"/>
          <w:szCs w:val="32"/>
          <w:lang w:val="en-US" w:eastAsia="zh-CN"/>
        </w:rPr>
        <w:t>现代商贸</w:t>
      </w:r>
      <w:r>
        <w:rPr>
          <w:rFonts w:hint="default" w:ascii="Times New Roman" w:hAnsi="Times New Roman" w:eastAsia="仿宋_GB2312" w:cs="Times New Roman"/>
          <w:color w:val="auto"/>
          <w:szCs w:val="32"/>
          <w:lang w:val="en-US" w:eastAsia="zh-CN"/>
        </w:rPr>
        <w:t>、现代物流、绿色食药、生态保护等领域合作，</w:t>
      </w:r>
      <w:r>
        <w:rPr>
          <w:rFonts w:hint="default" w:ascii="Times New Roman" w:hAnsi="Times New Roman" w:cs="Times New Roman"/>
          <w:color w:val="auto"/>
          <w:szCs w:val="32"/>
          <w:lang w:val="en-US" w:eastAsia="zh-CN"/>
        </w:rPr>
        <w:t>联合安康、商洛等地做强陕南生态文化旅游品牌，</w:t>
      </w:r>
      <w:r>
        <w:rPr>
          <w:rFonts w:hint="default" w:ascii="Times New Roman" w:hAnsi="Times New Roman" w:cs="Times New Roman"/>
          <w:color w:val="auto"/>
          <w:szCs w:val="32"/>
        </w:rPr>
        <w:t>推动汉江生态保护与</w:t>
      </w:r>
      <w:r>
        <w:rPr>
          <w:rFonts w:hint="default" w:ascii="Times New Roman" w:hAnsi="Times New Roman" w:cs="Times New Roman"/>
          <w:color w:val="auto"/>
          <w:szCs w:val="32"/>
          <w:lang w:val="en-US" w:eastAsia="zh-CN"/>
        </w:rPr>
        <w:t>生态经济品牌培育</w:t>
      </w:r>
      <w:r>
        <w:rPr>
          <w:rFonts w:hint="default" w:ascii="Times New Roman" w:hAnsi="Times New Roman" w:cs="Times New Roman"/>
          <w:color w:val="auto"/>
          <w:szCs w:val="32"/>
        </w:rPr>
        <w:t>，</w:t>
      </w:r>
      <w:r>
        <w:rPr>
          <w:rFonts w:hint="default" w:ascii="Times New Roman" w:hAnsi="Times New Roman" w:cs="Times New Roman"/>
          <w:color w:val="auto"/>
          <w:szCs w:val="32"/>
          <w:lang w:val="en-US" w:eastAsia="zh-CN"/>
        </w:rPr>
        <w:t>打造秦巴山水生态经济走廊，</w:t>
      </w:r>
      <w:r>
        <w:rPr>
          <w:rFonts w:hint="default" w:ascii="Times New Roman" w:hAnsi="Times New Roman" w:cs="Times New Roman"/>
          <w:color w:val="auto"/>
          <w:szCs w:val="32"/>
        </w:rPr>
        <w:t>形成汉江生态经济带协调发展新模式。</w:t>
      </w:r>
    </w:p>
    <w:p w14:paraId="669FA253">
      <w:pPr>
        <w:pStyle w:val="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center"/>
        <w:rPr>
          <w:rFonts w:hint="eastAsia" w:ascii="CESI黑体-GB2312" w:hAnsi="CESI黑体-GB2312" w:eastAsia="CESI黑体-GB2312" w:cs="CESI黑体-GB2312"/>
          <w:b w:val="0"/>
          <w:bCs/>
          <w:color w:val="auto"/>
          <w:lang w:val="en-US" w:eastAsia="zh-CN"/>
        </w:rPr>
      </w:pPr>
      <w:bookmarkStart w:id="190" w:name="_Toc5259"/>
      <w:r>
        <w:rPr>
          <w:rFonts w:hint="eastAsia" w:ascii="CESI黑体-GB2312" w:hAnsi="CESI黑体-GB2312" w:eastAsia="CESI黑体-GB2312" w:cs="CESI黑体-GB2312"/>
          <w:b w:val="0"/>
          <w:bCs/>
          <w:color w:val="auto"/>
          <w:lang w:val="en-US" w:eastAsia="zh-CN"/>
        </w:rPr>
        <w:t>第五节  培育壮大开放经济</w:t>
      </w:r>
      <w:bookmarkEnd w:id="177"/>
      <w:bookmarkEnd w:id="190"/>
    </w:p>
    <w:p w14:paraId="6B2F9B59">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val="0"/>
          <w:color w:val="auto"/>
          <w:spacing w:val="0"/>
          <w:sz w:val="32"/>
          <w:szCs w:val="32"/>
          <w:highlight w:val="none"/>
          <w:lang w:val="en-US" w:eastAsia="zh-CN"/>
        </w:rPr>
        <w:t>积极承接东部地区产业转移。</w:t>
      </w:r>
      <w:r>
        <w:rPr>
          <w:rFonts w:hint="default" w:ascii="Times New Roman" w:hAnsi="Times New Roman" w:eastAsia="仿宋_GB2312" w:cs="Times New Roman"/>
          <w:color w:val="auto"/>
          <w:spacing w:val="0"/>
          <w:sz w:val="32"/>
          <w:szCs w:val="32"/>
          <w:highlight w:val="none"/>
          <w:lang w:val="en-US" w:eastAsia="zh-CN"/>
        </w:rPr>
        <w:t>牢牢把握国家区域协调发展和东西部协作政策机遇，瞄准京津冀、粤港澳、长三角等重点区域，精准承接产业梯度转移，</w:t>
      </w:r>
      <w:r>
        <w:rPr>
          <w:rFonts w:hint="default" w:ascii="Times New Roman" w:hAnsi="Times New Roman" w:eastAsia="仿宋_GB2312" w:cs="Times New Roman"/>
          <w:color w:val="auto"/>
          <w:sz w:val="32"/>
          <w:szCs w:val="32"/>
          <w:lang w:val="en-US" w:eastAsia="zh-CN"/>
        </w:rPr>
        <w:t>主动参与区域经济链、产业链分工，深化在装备制造、文化旅游、现代材料、生物医药等领域合作，加快融入新发展格局。</w:t>
      </w:r>
    </w:p>
    <w:p w14:paraId="6B20036E">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楷体_GB2312" w:cs="Times New Roman"/>
          <w:b w:val="0"/>
          <w:bCs w:val="0"/>
          <w:color w:val="auto"/>
          <w:spacing w:val="0"/>
          <w:sz w:val="32"/>
          <w:szCs w:val="32"/>
          <w:highlight w:val="none"/>
          <w:lang w:val="en-US" w:eastAsia="zh-CN"/>
        </w:rPr>
        <w:t>持续扩大对外开放。</w:t>
      </w:r>
      <w:r>
        <w:rPr>
          <w:rFonts w:hint="default" w:ascii="Times New Roman" w:hAnsi="Times New Roman" w:eastAsia="仿宋_GB2312" w:cs="Times New Roman"/>
          <w:color w:val="auto"/>
          <w:spacing w:val="0"/>
          <w:sz w:val="32"/>
          <w:szCs w:val="32"/>
          <w:highlight w:val="none"/>
          <w:lang w:val="en-US" w:eastAsia="zh-CN"/>
        </w:rPr>
        <w:t>培育引进外贸龙头企业、平台企业</w:t>
      </w:r>
      <w:r>
        <w:rPr>
          <w:rFonts w:hint="default" w:ascii="Times New Roman" w:hAnsi="Times New Roman"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加强与中亚、中东、中东欧、东南亚等国家和地区的贸易务实合作，扩大航空装备、绿色食药、中药材及中间提取物等特色产品出口。以</w:t>
      </w:r>
      <w:r>
        <w:rPr>
          <w:rFonts w:hint="eastAsia"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汉文化</w:t>
      </w:r>
      <w:r>
        <w:rPr>
          <w:rFonts w:hint="eastAsia"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为纽带，广泛开展教育、文化、科技、人才等合作，拓展国际友好合作关系，缔结更多国际友好城市（区）。推进陆路口岸建设，发展跨境电商、跨境物流。</w:t>
      </w:r>
    </w:p>
    <w:p w14:paraId="0E6058D9">
      <w:pPr>
        <w:pStyle w:val="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center"/>
        <w:rPr>
          <w:rFonts w:hint="default" w:ascii="CESI黑体-GB2312" w:hAnsi="CESI黑体-GB2312" w:eastAsia="CESI黑体-GB2312" w:cs="CESI黑体-GB2312"/>
          <w:b w:val="0"/>
          <w:bCs/>
          <w:color w:val="auto"/>
          <w:lang w:val="en-US" w:eastAsia="zh-CN"/>
        </w:rPr>
      </w:pPr>
      <w:bookmarkStart w:id="191" w:name="_Toc8727"/>
      <w:bookmarkStart w:id="192" w:name="_Toc11234"/>
      <w:bookmarkStart w:id="193" w:name="_Toc9093"/>
      <w:r>
        <w:rPr>
          <w:rFonts w:hint="default" w:ascii="CESI黑体-GB2312" w:hAnsi="CESI黑体-GB2312" w:eastAsia="CESI黑体-GB2312" w:cs="CESI黑体-GB2312"/>
          <w:b w:val="0"/>
          <w:bCs/>
          <w:color w:val="auto"/>
          <w:lang w:val="en-US" w:eastAsia="zh-CN"/>
        </w:rPr>
        <w:t>第六节  提升招商引资质效</w:t>
      </w:r>
      <w:bookmarkEnd w:id="191"/>
      <w:bookmarkEnd w:id="192"/>
      <w:bookmarkEnd w:id="193"/>
    </w:p>
    <w:p w14:paraId="21E05686">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center"/>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楷体_GB2312" w:cs="Times New Roman"/>
          <w:b w:val="0"/>
          <w:bCs w:val="0"/>
          <w:color w:val="auto"/>
          <w:spacing w:val="0"/>
          <w:sz w:val="32"/>
          <w:szCs w:val="32"/>
          <w:highlight w:val="none"/>
          <w:lang w:val="en-US" w:eastAsia="zh-CN"/>
        </w:rPr>
        <w:t>精心策划储备项目。</w:t>
      </w:r>
      <w:r>
        <w:rPr>
          <w:rFonts w:hint="default" w:ascii="Times New Roman" w:hAnsi="Times New Roman" w:eastAsia="仿宋_GB2312" w:cs="Times New Roman"/>
          <w:color w:val="auto"/>
          <w:szCs w:val="32"/>
        </w:rPr>
        <w:t>发挥规划引导和政策扶持作用，</w:t>
      </w:r>
      <w:r>
        <w:rPr>
          <w:rFonts w:hint="default" w:ascii="Times New Roman" w:hAnsi="Times New Roman" w:eastAsia="仿宋_GB2312" w:cs="Times New Roman"/>
          <w:color w:val="auto"/>
          <w:spacing w:val="0"/>
          <w:sz w:val="32"/>
          <w:szCs w:val="32"/>
          <w:highlight w:val="none"/>
          <w:lang w:val="en-US" w:eastAsia="zh-CN"/>
        </w:rPr>
        <w:t>健全</w:t>
      </w:r>
      <w:r>
        <w:rPr>
          <w:rFonts w:hint="eastAsia"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专班+专家+专业机构+专项领域</w:t>
      </w:r>
      <w:r>
        <w:rPr>
          <w:rFonts w:hint="eastAsia"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联合谋划机制。</w:t>
      </w:r>
      <w:r>
        <w:rPr>
          <w:rFonts w:hint="default" w:ascii="Times New Roman" w:hAnsi="Times New Roman" w:eastAsia="仿宋_GB2312" w:cs="Times New Roman"/>
          <w:b w:val="0"/>
          <w:bCs w:val="0"/>
          <w:color w:val="auto"/>
          <w:kern w:val="0"/>
          <w:sz w:val="32"/>
          <w:szCs w:val="32"/>
          <w:highlight w:val="none"/>
          <w:lang w:val="en-US" w:eastAsia="zh-CN"/>
        </w:rPr>
        <w:t>抢抓中央预算内投资、超长期特别国债等政策机遇，加快谋划储备一批新兴产业、基础设施、公共服务配套项目</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b w:val="0"/>
          <w:bCs w:val="0"/>
          <w:color w:val="auto"/>
          <w:kern w:val="0"/>
          <w:sz w:val="32"/>
          <w:szCs w:val="32"/>
          <w:highlight w:val="none"/>
          <w:lang w:val="en-US" w:eastAsia="zh-CN"/>
        </w:rPr>
        <w:t>积极争取中央和省市资金，促进以政府投资带动社会投资。</w:t>
      </w:r>
      <w:r>
        <w:rPr>
          <w:rFonts w:hint="default" w:ascii="Times New Roman" w:hAnsi="Times New Roman" w:eastAsia="仿宋_GB2312" w:cs="Times New Roman"/>
          <w:color w:val="auto"/>
          <w:szCs w:val="32"/>
        </w:rPr>
        <w:t>聚焦文化旅游、装备制造、绿色食药、</w:t>
      </w:r>
      <w:r>
        <w:rPr>
          <w:rFonts w:hint="default" w:ascii="Times New Roman" w:hAnsi="Times New Roman" w:eastAsia="仿宋_GB2312" w:cs="Times New Roman"/>
          <w:color w:val="auto"/>
          <w:szCs w:val="32"/>
          <w:lang w:val="en-US" w:eastAsia="zh-CN"/>
        </w:rPr>
        <w:t>低空经济</w:t>
      </w:r>
      <w:r>
        <w:rPr>
          <w:rFonts w:hint="default" w:ascii="Times New Roman" w:hAnsi="Times New Roman" w:eastAsia="仿宋_GB2312" w:cs="Times New Roman"/>
          <w:color w:val="auto"/>
          <w:szCs w:val="32"/>
        </w:rPr>
        <w:t>等重点领域，谋划一批强链延链补链项目；对标</w:t>
      </w:r>
      <w:r>
        <w:rPr>
          <w:rFonts w:hint="eastAsia" w:cs="Times New Roman"/>
          <w:color w:val="auto"/>
          <w:szCs w:val="32"/>
          <w:lang w:eastAsia="zh-CN"/>
        </w:rPr>
        <w:t>“</w:t>
      </w:r>
      <w:r>
        <w:rPr>
          <w:rFonts w:hint="default" w:ascii="Times New Roman" w:hAnsi="Times New Roman" w:cs="Times New Roman"/>
          <w:color w:val="auto"/>
          <w:szCs w:val="32"/>
          <w:lang w:eastAsia="zh-CN"/>
        </w:rPr>
        <w:t>两重</w:t>
      </w:r>
      <w:r>
        <w:rPr>
          <w:rFonts w:hint="eastAsia" w:cs="Times New Roman"/>
          <w:color w:val="auto"/>
          <w:szCs w:val="32"/>
          <w:lang w:eastAsia="zh-CN"/>
        </w:rPr>
        <w:t>”“</w:t>
      </w:r>
      <w:r>
        <w:rPr>
          <w:rFonts w:hint="default" w:ascii="Times New Roman" w:hAnsi="Times New Roman" w:cs="Times New Roman"/>
          <w:color w:val="auto"/>
          <w:szCs w:val="32"/>
          <w:lang w:eastAsia="zh-CN"/>
        </w:rPr>
        <w:t>两新</w:t>
      </w:r>
      <w:r>
        <w:rPr>
          <w:rFonts w:hint="eastAsia" w:cs="Times New Roman"/>
          <w:color w:val="auto"/>
          <w:szCs w:val="32"/>
          <w:lang w:eastAsia="zh-CN"/>
        </w:rPr>
        <w:t>”</w:t>
      </w:r>
      <w:r>
        <w:rPr>
          <w:rFonts w:hint="default" w:ascii="Times New Roman" w:hAnsi="Times New Roman" w:eastAsia="仿宋_GB2312" w:cs="Times New Roman"/>
          <w:color w:val="auto"/>
          <w:szCs w:val="32"/>
        </w:rPr>
        <w:t>，谋划一批重大基础设施项目；围绕改善提升民生福祉，谋划一批重大民生工程项目；围绕</w:t>
      </w:r>
      <w:r>
        <w:rPr>
          <w:rFonts w:hint="default" w:ascii="Times New Roman" w:hAnsi="Times New Roman" w:eastAsia="仿宋_GB2312" w:cs="Times New Roman"/>
          <w:color w:val="auto"/>
          <w:szCs w:val="32"/>
          <w:lang w:val="en-US" w:eastAsia="zh-CN"/>
        </w:rPr>
        <w:t>生态城市建设</w:t>
      </w:r>
      <w:r>
        <w:rPr>
          <w:rFonts w:hint="default" w:ascii="Times New Roman" w:hAnsi="Times New Roman" w:eastAsia="仿宋_GB2312" w:cs="Times New Roman"/>
          <w:color w:val="auto"/>
          <w:szCs w:val="32"/>
        </w:rPr>
        <w:t>，谋划一批生态环保项目；围绕乡村振兴，谋划一批</w:t>
      </w:r>
      <w:r>
        <w:rPr>
          <w:rFonts w:hint="default" w:ascii="Times New Roman" w:hAnsi="Times New Roman" w:cs="Times New Roman"/>
          <w:color w:val="auto"/>
          <w:szCs w:val="32"/>
          <w:lang w:eastAsia="zh-CN"/>
        </w:rPr>
        <w:t>都市农业</w:t>
      </w:r>
      <w:r>
        <w:rPr>
          <w:rFonts w:hint="default" w:ascii="Times New Roman" w:hAnsi="Times New Roman" w:eastAsia="仿宋_GB2312" w:cs="Times New Roman"/>
          <w:color w:val="auto"/>
          <w:szCs w:val="32"/>
        </w:rPr>
        <w:t>、</w:t>
      </w:r>
      <w:r>
        <w:rPr>
          <w:rFonts w:hint="default" w:ascii="Times New Roman" w:hAnsi="Times New Roman" w:cs="Times New Roman"/>
          <w:color w:val="auto"/>
          <w:szCs w:val="32"/>
          <w:lang w:val="en-US" w:eastAsia="zh-CN"/>
        </w:rPr>
        <w:t>乡村建设</w:t>
      </w:r>
      <w:r>
        <w:rPr>
          <w:rFonts w:hint="default" w:ascii="Times New Roman" w:hAnsi="Times New Roman" w:eastAsia="仿宋_GB2312" w:cs="Times New Roman"/>
          <w:color w:val="auto"/>
          <w:szCs w:val="32"/>
        </w:rPr>
        <w:t>等项目。</w:t>
      </w:r>
      <w:r>
        <w:rPr>
          <w:rFonts w:hint="default" w:ascii="Times New Roman" w:hAnsi="Times New Roman" w:eastAsia="仿宋_GB2312" w:cs="Times New Roman"/>
          <w:color w:val="auto"/>
          <w:spacing w:val="0"/>
          <w:sz w:val="32"/>
          <w:szCs w:val="32"/>
          <w:highlight w:val="none"/>
          <w:lang w:val="en-US" w:eastAsia="zh-CN"/>
        </w:rPr>
        <w:t>前瞻研究跨周期支撑项目</w:t>
      </w:r>
      <w:r>
        <w:rPr>
          <w:rFonts w:hint="default" w:ascii="Times New Roman" w:hAnsi="Times New Roman" w:eastAsia="仿宋_GB2312" w:cs="Times New Roman"/>
          <w:b w:val="0"/>
          <w:bCs w:val="0"/>
          <w:color w:val="auto"/>
          <w:kern w:val="0"/>
          <w:sz w:val="32"/>
          <w:szCs w:val="32"/>
          <w:highlight w:val="none"/>
          <w:lang w:val="en-US" w:eastAsia="zh-CN"/>
        </w:rPr>
        <w:t>，充实</w:t>
      </w:r>
      <w:r>
        <w:rPr>
          <w:rFonts w:hint="eastAsia" w:cs="Times New Roman"/>
          <w:b w:val="0"/>
          <w:bCs w:val="0"/>
          <w:color w:val="auto"/>
          <w:kern w:val="0"/>
          <w:sz w:val="32"/>
          <w:szCs w:val="32"/>
          <w:highlight w:val="none"/>
          <w:lang w:val="en-US" w:eastAsia="zh-CN"/>
        </w:rPr>
        <w:t>“</w:t>
      </w:r>
      <w:r>
        <w:rPr>
          <w:rFonts w:hint="default" w:ascii="Times New Roman" w:hAnsi="Times New Roman" w:eastAsia="仿宋_GB2312" w:cs="Times New Roman"/>
          <w:b w:val="0"/>
          <w:bCs w:val="0"/>
          <w:color w:val="auto"/>
          <w:kern w:val="0"/>
          <w:sz w:val="32"/>
          <w:szCs w:val="32"/>
          <w:highlight w:val="none"/>
          <w:lang w:val="en-US" w:eastAsia="zh-CN"/>
        </w:rPr>
        <w:t>三张清单</w:t>
      </w:r>
      <w:r>
        <w:rPr>
          <w:rFonts w:hint="eastAsia" w:cs="Times New Roman"/>
          <w:b w:val="0"/>
          <w:bCs w:val="0"/>
          <w:color w:val="auto"/>
          <w:kern w:val="0"/>
          <w:sz w:val="32"/>
          <w:szCs w:val="32"/>
          <w:highlight w:val="none"/>
          <w:lang w:val="en-US" w:eastAsia="zh-CN"/>
        </w:rPr>
        <w:t>”</w:t>
      </w:r>
      <w:r>
        <w:rPr>
          <w:rFonts w:hint="default" w:ascii="Times New Roman" w:hAnsi="Times New Roman" w:eastAsia="仿宋_GB2312" w:cs="Times New Roman"/>
          <w:b w:val="0"/>
          <w:bCs w:val="0"/>
          <w:color w:val="auto"/>
          <w:kern w:val="0"/>
          <w:sz w:val="32"/>
          <w:szCs w:val="32"/>
          <w:highlight w:val="none"/>
          <w:lang w:val="en-US" w:eastAsia="zh-CN"/>
        </w:rPr>
        <w:t>项目库，</w:t>
      </w:r>
      <w:r>
        <w:rPr>
          <w:rFonts w:hint="default" w:ascii="Times New Roman" w:hAnsi="Times New Roman" w:eastAsia="仿宋_GB2312" w:cs="Times New Roman"/>
          <w:color w:val="auto"/>
          <w:spacing w:val="0"/>
          <w:sz w:val="32"/>
          <w:szCs w:val="32"/>
          <w:highlight w:val="none"/>
          <w:lang w:val="en-US" w:eastAsia="zh-CN"/>
        </w:rPr>
        <w:t>建好远近结合、梯次接续的项目储备库。</w:t>
      </w:r>
    </w:p>
    <w:p w14:paraId="6EBEAEA7">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楷体_GB2312" w:cs="Times New Roman"/>
          <w:b w:val="0"/>
          <w:bCs w:val="0"/>
          <w:color w:val="auto"/>
          <w:spacing w:val="0"/>
          <w:sz w:val="32"/>
          <w:szCs w:val="32"/>
          <w:highlight w:val="none"/>
          <w:lang w:val="en-US" w:eastAsia="zh-CN"/>
        </w:rPr>
        <w:t>实施精准招商引资。</w:t>
      </w:r>
      <w:r>
        <w:rPr>
          <w:rFonts w:hint="default" w:ascii="Times New Roman" w:hAnsi="Times New Roman" w:eastAsia="仿宋_GB2312" w:cs="Times New Roman"/>
          <w:b w:val="0"/>
          <w:bCs w:val="0"/>
          <w:color w:val="auto"/>
          <w:kern w:val="0"/>
          <w:sz w:val="32"/>
          <w:szCs w:val="32"/>
          <w:highlight w:val="none"/>
          <w:lang w:val="en-US" w:eastAsia="zh-CN"/>
        </w:rPr>
        <w:t>坚持招商引资</w:t>
      </w:r>
      <w:r>
        <w:rPr>
          <w:rFonts w:hint="eastAsia" w:cs="Times New Roman"/>
          <w:b w:val="0"/>
          <w:bCs w:val="0"/>
          <w:color w:val="auto"/>
          <w:kern w:val="0"/>
          <w:sz w:val="32"/>
          <w:szCs w:val="32"/>
          <w:highlight w:val="none"/>
          <w:lang w:val="en-US" w:eastAsia="zh-CN"/>
        </w:rPr>
        <w:t>“</w:t>
      </w:r>
      <w:r>
        <w:rPr>
          <w:rFonts w:hint="default" w:ascii="Times New Roman" w:hAnsi="Times New Roman" w:eastAsia="仿宋_GB2312" w:cs="Times New Roman"/>
          <w:b w:val="0"/>
          <w:bCs w:val="0"/>
          <w:color w:val="auto"/>
          <w:kern w:val="0"/>
          <w:sz w:val="32"/>
          <w:szCs w:val="32"/>
          <w:highlight w:val="none"/>
          <w:lang w:val="en-US" w:eastAsia="zh-CN"/>
        </w:rPr>
        <w:t>一把手</w:t>
      </w:r>
      <w:r>
        <w:rPr>
          <w:rFonts w:hint="eastAsia" w:cs="Times New Roman"/>
          <w:b w:val="0"/>
          <w:bCs w:val="0"/>
          <w:color w:val="auto"/>
          <w:kern w:val="0"/>
          <w:sz w:val="32"/>
          <w:szCs w:val="32"/>
          <w:highlight w:val="none"/>
          <w:lang w:val="en-US" w:eastAsia="zh-CN"/>
        </w:rPr>
        <w:t>”</w:t>
      </w:r>
      <w:r>
        <w:rPr>
          <w:rFonts w:hint="default" w:ascii="Times New Roman" w:hAnsi="Times New Roman" w:eastAsia="仿宋_GB2312" w:cs="Times New Roman"/>
          <w:b w:val="0"/>
          <w:bCs w:val="0"/>
          <w:color w:val="auto"/>
          <w:kern w:val="0"/>
          <w:sz w:val="32"/>
          <w:szCs w:val="32"/>
          <w:highlight w:val="none"/>
          <w:lang w:val="en-US" w:eastAsia="zh-CN"/>
        </w:rPr>
        <w:t>工程，</w:t>
      </w:r>
      <w:r>
        <w:rPr>
          <w:rFonts w:hint="default" w:ascii="Times New Roman" w:hAnsi="Times New Roman" w:eastAsia="仿宋_GB2312" w:cs="Times New Roman"/>
          <w:color w:val="auto"/>
          <w:spacing w:val="0"/>
          <w:sz w:val="32"/>
          <w:szCs w:val="32"/>
          <w:highlight w:val="none"/>
          <w:lang w:val="en-US" w:eastAsia="zh-CN"/>
        </w:rPr>
        <w:t>建立招商引资工作专班。</w:t>
      </w:r>
      <w:r>
        <w:rPr>
          <w:rFonts w:hint="default" w:ascii="Times New Roman" w:hAnsi="Times New Roman" w:eastAsia="仿宋_GB2312" w:cs="Times New Roman"/>
          <w:color w:val="auto"/>
          <w:sz w:val="32"/>
          <w:szCs w:val="32"/>
          <w:highlight w:val="none"/>
          <w:lang w:val="en-US" w:eastAsia="zh-CN"/>
        </w:rPr>
        <w:t>充分利用丝博会及京津冀、长三角、粤港澳经济活动周等大型招商活动，开展宣传推介和招商引资。</w:t>
      </w:r>
      <w:r>
        <w:rPr>
          <w:rFonts w:hint="default" w:ascii="Times New Roman" w:hAnsi="Times New Roman" w:eastAsia="仿宋_GB2312" w:cs="Times New Roman"/>
          <w:b w:val="0"/>
          <w:bCs w:val="0"/>
          <w:color w:val="auto"/>
          <w:kern w:val="0"/>
          <w:sz w:val="32"/>
          <w:szCs w:val="32"/>
          <w:highlight w:val="none"/>
          <w:lang w:val="en-US" w:eastAsia="zh-CN"/>
        </w:rPr>
        <w:t>创新运用上门招商、小分队招商、产业链招商、要素招商、中介招商、以商招商等方式，</w:t>
      </w:r>
      <w:r>
        <w:rPr>
          <w:rFonts w:hint="default" w:ascii="Times New Roman" w:hAnsi="Times New Roman" w:eastAsia="仿宋_GB2312" w:cs="Times New Roman"/>
          <w:color w:val="auto"/>
          <w:szCs w:val="32"/>
        </w:rPr>
        <w:t>紧盯长三角、珠三角、京津冀、粤港澳大湾区、成渝等地，</w:t>
      </w:r>
      <w:r>
        <w:rPr>
          <w:rFonts w:hint="default" w:ascii="Times New Roman" w:hAnsi="Times New Roman" w:eastAsia="仿宋_GB2312" w:cs="Times New Roman"/>
          <w:color w:val="auto"/>
          <w:spacing w:val="0"/>
          <w:sz w:val="32"/>
          <w:szCs w:val="32"/>
          <w:highlight w:val="none"/>
          <w:lang w:val="en-US" w:eastAsia="zh-CN"/>
        </w:rPr>
        <w:t>锁定重点产业链和优势领域开展精准招商。</w:t>
      </w:r>
      <w:r>
        <w:rPr>
          <w:rFonts w:hint="default" w:ascii="Times New Roman" w:hAnsi="Times New Roman" w:eastAsia="仿宋_GB2312" w:cs="Times New Roman"/>
          <w:color w:val="auto"/>
          <w:kern w:val="2"/>
          <w:sz w:val="32"/>
          <w:szCs w:val="32"/>
          <w:highlight w:val="none"/>
          <w:lang w:val="en-US" w:eastAsia="zh-CN" w:bidi="ar-SA"/>
        </w:rPr>
        <w:t>借助陕西省台办、港澳办、投资和贸易促进中心等外事外经资源，加大外资客商对接力度，吸引更多境外投资。</w:t>
      </w:r>
    </w:p>
    <w:p w14:paraId="6EA4FBBF">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32" w:firstLineChars="200"/>
        <w:jc w:val="both"/>
        <w:textAlignment w:val="center"/>
        <w:rPr>
          <w:rFonts w:hint="default" w:ascii="Times New Roman" w:hAnsi="Times New Roman" w:cs="Times New Roman"/>
          <w:color w:val="auto"/>
        </w:rPr>
      </w:pPr>
      <w:r>
        <w:rPr>
          <w:rFonts w:hint="default" w:ascii="Times New Roman" w:hAnsi="Times New Roman" w:eastAsia="楷体_GB2312" w:cs="Times New Roman"/>
          <w:b w:val="0"/>
          <w:bCs w:val="0"/>
          <w:color w:val="auto"/>
          <w:spacing w:val="0"/>
          <w:sz w:val="32"/>
          <w:szCs w:val="32"/>
          <w:highlight w:val="none"/>
          <w:lang w:val="en-US" w:eastAsia="zh-CN"/>
        </w:rPr>
        <w:t>强化招商服务保障。</w:t>
      </w:r>
      <w:r>
        <w:rPr>
          <w:rFonts w:hint="default" w:ascii="Times New Roman" w:hAnsi="Times New Roman" w:cs="Times New Roman"/>
          <w:color w:val="auto"/>
        </w:rPr>
        <w:t>坚持</w:t>
      </w:r>
      <w:r>
        <w:rPr>
          <w:rFonts w:hint="eastAsia" w:cs="Times New Roman"/>
          <w:color w:val="auto"/>
          <w:lang w:eastAsia="zh-CN"/>
        </w:rPr>
        <w:t>“</w:t>
      </w:r>
      <w:r>
        <w:rPr>
          <w:rFonts w:hint="default" w:ascii="Times New Roman" w:hAnsi="Times New Roman" w:cs="Times New Roman"/>
          <w:color w:val="auto"/>
        </w:rPr>
        <w:t>招引与落地并重</w:t>
      </w:r>
      <w:r>
        <w:rPr>
          <w:rFonts w:hint="eastAsia" w:cs="Times New Roman"/>
          <w:color w:val="auto"/>
          <w:lang w:eastAsia="zh-CN"/>
        </w:rPr>
        <w:t>”</w:t>
      </w:r>
      <w:r>
        <w:rPr>
          <w:rFonts w:hint="default" w:ascii="Times New Roman" w:hAnsi="Times New Roman" w:cs="Times New Roman"/>
          <w:color w:val="auto"/>
        </w:rPr>
        <w:t>，推进招商项目全流程管理，实施</w:t>
      </w:r>
      <w:r>
        <w:rPr>
          <w:rFonts w:hint="eastAsia" w:cs="Times New Roman"/>
          <w:color w:val="auto"/>
          <w:lang w:eastAsia="zh-CN"/>
        </w:rPr>
        <w:t>“</w:t>
      </w:r>
      <w:r>
        <w:rPr>
          <w:rFonts w:hint="default" w:ascii="Times New Roman" w:hAnsi="Times New Roman" w:cs="Times New Roman"/>
          <w:color w:val="auto"/>
        </w:rPr>
        <w:t>一个项目、一名领导、一套班子、一抓到底</w:t>
      </w:r>
      <w:r>
        <w:rPr>
          <w:rFonts w:hint="eastAsia" w:cs="Times New Roman"/>
          <w:color w:val="auto"/>
          <w:lang w:eastAsia="zh-CN"/>
        </w:rPr>
        <w:t>”</w:t>
      </w:r>
      <w:r>
        <w:rPr>
          <w:rFonts w:hint="default" w:ascii="Times New Roman" w:hAnsi="Times New Roman" w:cs="Times New Roman"/>
          <w:color w:val="auto"/>
        </w:rPr>
        <w:t>的推进机制。健全项目洽谈、签约、审批、落地、建设全链条服务流程，推行</w:t>
      </w:r>
      <w:r>
        <w:rPr>
          <w:rFonts w:hint="eastAsia" w:cs="Times New Roman"/>
          <w:color w:val="auto"/>
          <w:lang w:eastAsia="zh-CN"/>
        </w:rPr>
        <w:t>“</w:t>
      </w:r>
      <w:r>
        <w:rPr>
          <w:rFonts w:hint="default" w:ascii="Times New Roman" w:hAnsi="Times New Roman" w:cs="Times New Roman"/>
          <w:color w:val="auto"/>
        </w:rPr>
        <w:t>代办制+专员制+容缺受理</w:t>
      </w:r>
      <w:r>
        <w:rPr>
          <w:rFonts w:hint="eastAsia" w:cs="Times New Roman"/>
          <w:color w:val="auto"/>
          <w:lang w:eastAsia="zh-CN"/>
        </w:rPr>
        <w:t>”</w:t>
      </w:r>
      <w:r>
        <w:rPr>
          <w:rFonts w:hint="default" w:ascii="Times New Roman" w:hAnsi="Times New Roman" w:cs="Times New Roman"/>
          <w:color w:val="auto"/>
        </w:rPr>
        <w:t>制度，为投资企业提供</w:t>
      </w:r>
      <w:r>
        <w:rPr>
          <w:rFonts w:hint="eastAsia" w:cs="Times New Roman"/>
          <w:color w:val="auto"/>
          <w:lang w:eastAsia="zh-CN"/>
        </w:rPr>
        <w:t>“</w:t>
      </w:r>
      <w:r>
        <w:rPr>
          <w:rFonts w:hint="default" w:ascii="Times New Roman" w:hAnsi="Times New Roman" w:cs="Times New Roman"/>
          <w:color w:val="auto"/>
        </w:rPr>
        <w:t>保姆式</w:t>
      </w:r>
      <w:r>
        <w:rPr>
          <w:rFonts w:hint="eastAsia" w:cs="Times New Roman"/>
          <w:color w:val="auto"/>
          <w:lang w:eastAsia="zh-CN"/>
        </w:rPr>
        <w:t>”</w:t>
      </w:r>
      <w:r>
        <w:rPr>
          <w:rFonts w:hint="default" w:ascii="Times New Roman" w:hAnsi="Times New Roman" w:cs="Times New Roman"/>
          <w:color w:val="auto"/>
        </w:rPr>
        <w:t>服务。完善土地、能耗、融资等要素保障机制，落实招商项目闭环管理，强化目标考核、跟踪督办、项目评估，全面提升招商引资实效。</w:t>
      </w:r>
    </w:p>
    <w:p w14:paraId="52CD0477">
      <w:pPr>
        <w:rPr>
          <w:rFonts w:hint="eastAsia"/>
        </w:rPr>
      </w:pPr>
    </w:p>
    <w:p w14:paraId="4406CC14">
      <w:pPr>
        <w:rPr>
          <w:rFonts w:hint="eastAsia"/>
        </w:rPr>
      </w:pPr>
    </w:p>
    <w:p w14:paraId="271882D8">
      <w:pPr>
        <w:rPr>
          <w:rFonts w:hint="eastAsia"/>
        </w:rPr>
      </w:pPr>
    </w:p>
    <w:p w14:paraId="33647A82">
      <w:pPr>
        <w:rPr>
          <w:rFonts w:hint="eastAsia"/>
        </w:rPr>
      </w:pPr>
    </w:p>
    <w:p w14:paraId="7273316E">
      <w:pPr>
        <w:rPr>
          <w:rFonts w:hint="eastAsia"/>
        </w:rPr>
      </w:pPr>
    </w:p>
    <w:p w14:paraId="1B21D2AB">
      <w:pPr>
        <w:rPr>
          <w:rFonts w:hint="eastAsia"/>
        </w:rPr>
      </w:pPr>
    </w:p>
    <w:p w14:paraId="17BD8471">
      <w:pPr>
        <w:rPr>
          <w:rFonts w:hint="eastAsia"/>
        </w:rPr>
      </w:pPr>
    </w:p>
    <w:p w14:paraId="36E0E26D">
      <w:pPr>
        <w:rPr>
          <w:rFonts w:hint="eastAsia"/>
        </w:rPr>
      </w:pPr>
    </w:p>
    <w:p w14:paraId="41CF4EC5">
      <w:pPr>
        <w:rPr>
          <w:rFonts w:hint="eastAsia"/>
        </w:rPr>
      </w:pPr>
    </w:p>
    <w:p w14:paraId="57DC6DC0">
      <w:pPr>
        <w:rPr>
          <w:rFonts w:hint="eastAsia"/>
        </w:rPr>
      </w:pPr>
    </w:p>
    <w:p w14:paraId="105B30DE">
      <w:pPr>
        <w:rPr>
          <w:rFonts w:hint="eastAsia"/>
        </w:rPr>
      </w:pPr>
    </w:p>
    <w:p w14:paraId="5104A6AE">
      <w:pPr>
        <w:rPr>
          <w:rFonts w:hint="eastAsia"/>
        </w:rPr>
      </w:pPr>
    </w:p>
    <w:p w14:paraId="537800A7">
      <w:pPr>
        <w:rPr>
          <w:rFonts w:hint="eastAsia"/>
        </w:rPr>
      </w:pPr>
    </w:p>
    <w:p w14:paraId="484B76D1">
      <w:pPr>
        <w:rPr>
          <w:rFonts w:hint="eastAsia"/>
        </w:rPr>
      </w:pPr>
    </w:p>
    <w:p w14:paraId="5EBC7663">
      <w:pPr>
        <w:rPr>
          <w:rFonts w:hint="eastAsia"/>
        </w:rPr>
      </w:pPr>
    </w:p>
    <w:p w14:paraId="2F226BF9">
      <w:pPr>
        <w:rPr>
          <w:rFonts w:hint="eastAsia"/>
        </w:rPr>
      </w:pPr>
    </w:p>
    <w:p w14:paraId="1FD39B5D">
      <w:pPr>
        <w:rPr>
          <w:rFonts w:hint="eastAsia"/>
        </w:rPr>
      </w:pPr>
    </w:p>
    <w:p w14:paraId="76E3DF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第六章  促进城乡融合发展，</w:t>
      </w:r>
    </w:p>
    <w:p w14:paraId="5110C28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打造更高能级品质城市</w:t>
      </w:r>
    </w:p>
    <w:p w14:paraId="60CB7BCF">
      <w:pPr>
        <w:rPr>
          <w:rFonts w:hint="eastAsia" w:ascii="方正小标宋简体" w:hAnsi="方正小标宋简体" w:eastAsia="方正小标宋简体" w:cs="方正小标宋简体"/>
          <w:sz w:val="44"/>
          <w:szCs w:val="44"/>
        </w:rPr>
      </w:pPr>
    </w:p>
    <w:p w14:paraId="28CA85DF">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lang w:val="en-US" w:eastAsia="zh-CN"/>
        </w:rPr>
      </w:pPr>
      <w:r>
        <w:rPr>
          <w:rFonts w:hint="default" w:ascii="Times New Roman" w:hAnsi="Times New Roman" w:cs="Times New Roman"/>
          <w:lang w:val="en-US" w:eastAsia="zh-CN"/>
        </w:rPr>
        <w:t>统筹推进以人为核心的新型城镇化和乡村全面振兴，以城市内涵式发展为主线，以推进城市更新为抓手，推动城市结构优化、动能转换、品质提升、文脉赓续、治理增效，完善城镇功能，科学有序推进农业转移人口市民化，努力建设创新、宜居、美丽、韧性、文明、智慧的现代化人民城市。到2030年，常住人口城镇化水平达到78%。</w:t>
      </w:r>
    </w:p>
    <w:p w14:paraId="2968FC4A">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黑体" w:hAnsi="黑体" w:eastAsia="黑体" w:cs="黑体"/>
          <w:lang w:val="en-US" w:eastAsia="zh-CN"/>
        </w:rPr>
      </w:pPr>
      <w:bookmarkStart w:id="194" w:name="_Toc13330"/>
      <w:r>
        <w:rPr>
          <w:rFonts w:hint="eastAsia" w:ascii="黑体" w:hAnsi="黑体" w:eastAsia="黑体" w:cs="黑体"/>
          <w:lang w:val="en-US" w:eastAsia="zh-CN"/>
        </w:rPr>
        <w:t>第一节  建设高品质现代化中心城区</w:t>
      </w:r>
      <w:bookmarkEnd w:id="194"/>
    </w:p>
    <w:p w14:paraId="7FEF2E23">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eastAsia="黑体" w:cs="Times New Roman"/>
          <w:lang w:val="en-US" w:eastAsia="zh-CN"/>
        </w:rPr>
      </w:pPr>
      <w:bookmarkStart w:id="195" w:name="_Toc28235"/>
      <w:bookmarkStart w:id="196" w:name="_Toc27379"/>
      <w:r>
        <w:rPr>
          <w:rFonts w:hint="default" w:ascii="Times New Roman" w:hAnsi="Times New Roman" w:eastAsia="黑体" w:cs="Times New Roman"/>
          <w:lang w:val="en-US" w:eastAsia="zh-CN"/>
        </w:rPr>
        <w:t>一、加快城市有机更新</w:t>
      </w:r>
      <w:bookmarkEnd w:id="195"/>
      <w:bookmarkEnd w:id="196"/>
    </w:p>
    <w:p w14:paraId="2D2C9526">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优化城市空间结构</w:t>
      </w:r>
      <w:r>
        <w:rPr>
          <w:rFonts w:hint="default" w:ascii="Times New Roman" w:hAnsi="Times New Roman" w:eastAsia="楷体_GB2312" w:cs="Times New Roman"/>
        </w:rPr>
        <w:t>。</w:t>
      </w:r>
      <w:r>
        <w:rPr>
          <w:rFonts w:hint="default" w:ascii="Times New Roman" w:hAnsi="Times New Roman" w:cs="Times New Roman"/>
          <w:lang w:val="en-US" w:eastAsia="zh-CN"/>
        </w:rPr>
        <w:t>统筹推进老城提升与新城拓展。</w:t>
      </w:r>
      <w:r>
        <w:rPr>
          <w:rFonts w:hint="default" w:ascii="Times New Roman" w:hAnsi="Times New Roman" w:cs="Times New Roman"/>
        </w:rPr>
        <w:t>加强对城市空间立体性、平面协调性、风貌整体性等方面规划和管控，</w:t>
      </w:r>
      <w:r>
        <w:rPr>
          <w:rFonts w:hint="default" w:ascii="Times New Roman" w:hAnsi="Times New Roman" w:cs="Times New Roman"/>
          <w:lang w:val="en-US" w:eastAsia="zh-CN"/>
        </w:rPr>
        <w:t>保护开发西汉三遗址、东关历史文化街区，打造一批地标建筑、城市符号，扮靓城市形象。</w:t>
      </w:r>
    </w:p>
    <w:p w14:paraId="3FA5B90E">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lang w:eastAsia="zh-CN"/>
        </w:rPr>
      </w:pPr>
      <w:r>
        <w:rPr>
          <w:rFonts w:hint="default" w:ascii="Times New Roman" w:hAnsi="Times New Roman" w:eastAsia="楷体_GB2312" w:cs="Times New Roman"/>
          <w:lang w:val="en-US" w:eastAsia="zh-CN"/>
        </w:rPr>
        <w:t>推进老旧小区更新。</w:t>
      </w:r>
      <w:r>
        <w:rPr>
          <w:rFonts w:hint="default" w:ascii="Times New Roman" w:hAnsi="Times New Roman" w:cs="Times New Roman"/>
          <w:lang w:val="en-US" w:eastAsia="zh-CN"/>
        </w:rPr>
        <w:t>制定实施城市更新专项规划，一体化推进城市体检和城市更新。加快老旧小区基础设施改造提升，完善社区嵌入式服务设施，推进打造涵盖教育医疗、文体活动、老幼看护、生活服务等多功能的</w:t>
      </w:r>
      <w:r>
        <w:rPr>
          <w:rFonts w:hint="eastAsia" w:ascii="Times New Roman" w:hAnsi="Times New Roman" w:cs="Times New Roman"/>
          <w:lang w:val="en-US" w:eastAsia="zh-CN"/>
        </w:rPr>
        <w:t>“</w:t>
      </w:r>
      <w:r>
        <w:rPr>
          <w:rFonts w:hint="default" w:ascii="Times New Roman" w:hAnsi="Times New Roman" w:cs="Times New Roman"/>
          <w:lang w:val="en-US" w:eastAsia="zh-CN"/>
        </w:rPr>
        <w:t>15分钟社区生活圈</w:t>
      </w:r>
      <w:r>
        <w:rPr>
          <w:rFonts w:hint="eastAsia" w:ascii="Times New Roman" w:hAnsi="Times New Roman" w:cs="Times New Roman"/>
          <w:lang w:val="en-US" w:eastAsia="zh-CN"/>
        </w:rPr>
        <w:t>”</w:t>
      </w:r>
      <w:r>
        <w:rPr>
          <w:rFonts w:hint="default" w:ascii="Times New Roman" w:hAnsi="Times New Roman" w:cs="Times New Roman"/>
          <w:lang w:val="en-US" w:eastAsia="zh-CN"/>
        </w:rPr>
        <w:t>，提升小区居住品质，促进产城融合、职住平衡。</w:t>
      </w:r>
    </w:p>
    <w:p w14:paraId="10463236">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rPr>
      </w:pPr>
      <w:r>
        <w:rPr>
          <w:rFonts w:hint="default" w:ascii="Times New Roman" w:hAnsi="Times New Roman" w:eastAsia="楷体_GB2312" w:cs="Times New Roman"/>
          <w:lang w:val="en-US" w:eastAsia="zh-CN"/>
        </w:rPr>
        <w:t>改善居民住房条件。</w:t>
      </w:r>
      <w:r>
        <w:rPr>
          <w:rFonts w:hint="default" w:ascii="Times New Roman" w:hAnsi="Times New Roman" w:cs="Times New Roman"/>
          <w:lang w:val="en-US" w:eastAsia="zh-CN"/>
        </w:rPr>
        <w:t>实施前进路汉前巷、汤房社区区域等棚户区改造，加快金华片区、文庙巷区域、梁州路二期等保障性安居工程建设，</w:t>
      </w:r>
      <w:r>
        <w:rPr>
          <w:rFonts w:hint="default" w:ascii="Times New Roman" w:hAnsi="Times New Roman" w:cs="Times New Roman"/>
        </w:rPr>
        <w:t>解决棚户区困难群体的住房问题。推进建设高品质居住社区，支持鼓励开发建设立体生态住宅建筑、绿色智能建筑等高品质住宅项目，推进</w:t>
      </w:r>
      <w:r>
        <w:rPr>
          <w:rFonts w:hint="default" w:ascii="Times New Roman" w:hAnsi="Times New Roman" w:cs="Times New Roman"/>
          <w:lang w:eastAsia="zh-CN"/>
        </w:rPr>
        <w:t>安全舒适绿色智慧的</w:t>
      </w:r>
      <w:r>
        <w:rPr>
          <w:rFonts w:hint="eastAsia" w:ascii="Times New Roman" w:hAnsi="Times New Roman" w:cs="Times New Roman"/>
          <w:lang w:eastAsia="zh-CN"/>
        </w:rPr>
        <w:t>“</w:t>
      </w:r>
      <w:r>
        <w:rPr>
          <w:rFonts w:hint="default" w:ascii="Times New Roman" w:hAnsi="Times New Roman" w:cs="Times New Roman"/>
          <w:lang w:eastAsia="zh-CN"/>
        </w:rPr>
        <w:t>好房子</w:t>
      </w:r>
      <w:r>
        <w:rPr>
          <w:rFonts w:hint="eastAsia" w:ascii="Times New Roman" w:hAnsi="Times New Roman" w:cs="Times New Roman"/>
          <w:lang w:eastAsia="zh-CN"/>
        </w:rPr>
        <w:t>”</w:t>
      </w:r>
      <w:r>
        <w:rPr>
          <w:rFonts w:hint="default" w:ascii="Times New Roman" w:hAnsi="Times New Roman" w:cs="Times New Roman"/>
        </w:rPr>
        <w:t>建设</w:t>
      </w:r>
      <w:r>
        <w:rPr>
          <w:rFonts w:hint="default" w:ascii="Times New Roman" w:hAnsi="Times New Roman" w:cs="Times New Roman"/>
          <w:lang w:eastAsia="zh-CN"/>
        </w:rPr>
        <w:t>，</w:t>
      </w:r>
      <w:r>
        <w:rPr>
          <w:rFonts w:hint="default" w:ascii="Times New Roman" w:hAnsi="Times New Roman" w:cs="Times New Roman"/>
        </w:rPr>
        <w:t>更好满足群众刚性和多样化改善性住房需求。</w:t>
      </w:r>
    </w:p>
    <w:p w14:paraId="3EC84653">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eastAsia="黑体" w:cs="Times New Roman"/>
          <w:lang w:val="en-US" w:eastAsia="zh-CN"/>
        </w:rPr>
      </w:pPr>
      <w:bookmarkStart w:id="197" w:name="_Toc30050"/>
      <w:bookmarkStart w:id="198" w:name="_Toc1549"/>
      <w:bookmarkStart w:id="199" w:name="_Toc21562"/>
      <w:r>
        <w:rPr>
          <w:rFonts w:hint="default" w:ascii="Times New Roman" w:hAnsi="Times New Roman" w:eastAsia="黑体" w:cs="Times New Roman"/>
          <w:lang w:val="en-US" w:eastAsia="zh-CN"/>
        </w:rPr>
        <w:t>二、提升城市基础设施水平</w:t>
      </w:r>
      <w:bookmarkEnd w:id="197"/>
      <w:bookmarkEnd w:id="198"/>
      <w:bookmarkEnd w:id="199"/>
    </w:p>
    <w:p w14:paraId="19BEA92B">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rPr>
      </w:pPr>
      <w:r>
        <w:rPr>
          <w:rFonts w:hint="default" w:ascii="Times New Roman" w:hAnsi="Times New Roman" w:eastAsia="楷体_GB2312" w:cs="Times New Roman"/>
          <w:lang w:val="en-US" w:eastAsia="zh-CN"/>
        </w:rPr>
        <w:t>优化城市路网结构。</w:t>
      </w:r>
      <w:r>
        <w:rPr>
          <w:rFonts w:hint="default" w:ascii="Times New Roman" w:hAnsi="Times New Roman" w:cs="Times New Roman"/>
        </w:rPr>
        <w:t>建设城市快速干线，推进主要道路公交车站港湾式改造，</w:t>
      </w:r>
      <w:r>
        <w:rPr>
          <w:rFonts w:hint="default" w:ascii="Times New Roman" w:hAnsi="Times New Roman" w:cs="Times New Roman"/>
          <w:lang w:val="en-US" w:eastAsia="zh-CN"/>
        </w:rPr>
        <w:t>建设城市慢行系统，有序打通断头路，</w:t>
      </w:r>
      <w:r>
        <w:rPr>
          <w:rFonts w:hint="default" w:ascii="Times New Roman" w:hAnsi="Times New Roman" w:cs="Times New Roman"/>
        </w:rPr>
        <w:t>提高道路通达性，</w:t>
      </w:r>
      <w:r>
        <w:rPr>
          <w:rFonts w:hint="default" w:ascii="Times New Roman" w:hAnsi="Times New Roman" w:cs="Times New Roman"/>
          <w:lang w:val="en-US" w:eastAsia="zh-CN"/>
        </w:rPr>
        <w:t>畅通城内通勤效率。</w:t>
      </w:r>
      <w:r>
        <w:rPr>
          <w:rFonts w:hint="default" w:ascii="Times New Roman" w:hAnsi="Times New Roman" w:cs="Times New Roman"/>
        </w:rPr>
        <w:t>完善交通枢纽换乘换装设施布局，合理配置停车设施，建设智慧停车场</w:t>
      </w:r>
      <w:r>
        <w:rPr>
          <w:rFonts w:hint="default" w:ascii="Times New Roman" w:hAnsi="Times New Roman" w:cs="Times New Roman"/>
          <w:lang w:eastAsia="zh-CN"/>
        </w:rPr>
        <w:t>、</w:t>
      </w:r>
      <w:r>
        <w:rPr>
          <w:rFonts w:hint="default" w:ascii="Times New Roman" w:hAnsi="Times New Roman" w:cs="Times New Roman"/>
        </w:rPr>
        <w:t>充电桩</w:t>
      </w:r>
      <w:r>
        <w:rPr>
          <w:rFonts w:hint="default" w:ascii="Times New Roman" w:hAnsi="Times New Roman" w:cs="Times New Roman"/>
          <w:lang w:val="en-US" w:eastAsia="zh-CN"/>
        </w:rPr>
        <w:t>等便民设施</w:t>
      </w:r>
      <w:r>
        <w:rPr>
          <w:rFonts w:hint="default" w:ascii="Times New Roman" w:hAnsi="Times New Roman" w:cs="Times New Roman"/>
        </w:rPr>
        <w:t>，</w:t>
      </w:r>
      <w:r>
        <w:rPr>
          <w:rFonts w:hint="default" w:ascii="Times New Roman" w:hAnsi="Times New Roman" w:cs="Times New Roman"/>
          <w:lang w:val="en-US" w:eastAsia="zh-CN"/>
        </w:rPr>
        <w:t>着力解决</w:t>
      </w:r>
      <w:r>
        <w:rPr>
          <w:rFonts w:hint="default" w:ascii="Times New Roman" w:hAnsi="Times New Roman" w:cs="Times New Roman"/>
        </w:rPr>
        <w:t>停车难问题。</w:t>
      </w:r>
    </w:p>
    <w:p w14:paraId="29308D73">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rPr>
      </w:pPr>
      <w:r>
        <w:rPr>
          <w:rFonts w:hint="default" w:ascii="Times New Roman" w:hAnsi="Times New Roman" w:eastAsia="楷体_GB2312" w:cs="Times New Roman"/>
          <w:lang w:val="en-US" w:eastAsia="zh-CN"/>
        </w:rPr>
        <w:t>推进雨污分流建设。</w:t>
      </w:r>
      <w:r>
        <w:rPr>
          <w:rFonts w:hint="default" w:ascii="Times New Roman" w:hAnsi="Times New Roman" w:cs="Times New Roman"/>
          <w:lang w:val="en-US" w:eastAsia="zh-CN"/>
        </w:rPr>
        <w:t>实施雨污管网普查及清淤修复，推进建设道路雨污分流管网，建设城东片区、城北片区、鑫源路社区、崔家沟社区等城市防洪排涝通道，增强城市防洪排涝能力。</w:t>
      </w:r>
      <w:r>
        <w:rPr>
          <w:rFonts w:hint="default" w:ascii="Times New Roman" w:hAnsi="Times New Roman" w:cs="Times New Roman"/>
        </w:rPr>
        <w:t>结合排洪排污渠道治理、道路整治、棚户区改造，建设改造城市地下管线管网。</w:t>
      </w:r>
      <w:r>
        <w:rPr>
          <w:rFonts w:hint="default" w:ascii="Times New Roman" w:hAnsi="Times New Roman" w:cs="Times New Roman"/>
          <w:lang w:val="en-US" w:eastAsia="zh-CN"/>
        </w:rPr>
        <w:t>到2030年，</w:t>
      </w:r>
      <w:r>
        <w:rPr>
          <w:rFonts w:hint="default" w:ascii="Times New Roman" w:hAnsi="Times New Roman" w:cs="Times New Roman"/>
        </w:rPr>
        <w:t>实现建成区污水管网全覆盖，城市污水处理率达到98%以上。</w:t>
      </w:r>
    </w:p>
    <w:p w14:paraId="106FC701">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rPr>
      </w:pPr>
      <w:r>
        <w:rPr>
          <w:rFonts w:hint="default" w:ascii="Times New Roman" w:hAnsi="Times New Roman" w:eastAsia="楷体_GB2312" w:cs="Times New Roman"/>
          <w:lang w:val="en-US" w:eastAsia="zh-CN"/>
        </w:rPr>
        <w:t>完善市政公用设施。</w:t>
      </w:r>
      <w:r>
        <w:rPr>
          <w:rFonts w:hint="default" w:ascii="Times New Roman" w:hAnsi="Times New Roman" w:cs="Times New Roman"/>
          <w:lang w:val="en-US" w:eastAsia="zh-CN"/>
        </w:rPr>
        <w:t>推进老化燃气、供排水管道更新改造，提升博望大道、龙亭路、沛公路等市政燃气干管，建设辖区内缺失燃气主管网及用户端瓶改管、低压管网，提升市政管网安全性。加强</w:t>
      </w:r>
      <w:r>
        <w:rPr>
          <w:rFonts w:hint="default" w:ascii="Times New Roman" w:hAnsi="Times New Roman" w:cs="Times New Roman"/>
        </w:rPr>
        <w:t>5G、千兆光网覆盖，优化算力设施建设布局</w:t>
      </w:r>
      <w:r>
        <w:rPr>
          <w:rFonts w:hint="default" w:ascii="Times New Roman" w:hAnsi="Times New Roman" w:cs="Times New Roman"/>
          <w:lang w:eastAsia="zh-CN"/>
        </w:rPr>
        <w:t>。</w:t>
      </w:r>
    </w:p>
    <w:p w14:paraId="199C010D">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eastAsia="黑体" w:cs="Times New Roman"/>
          <w:lang w:val="en-US" w:eastAsia="zh-CN"/>
        </w:rPr>
      </w:pPr>
      <w:bookmarkStart w:id="200" w:name="_Toc28218"/>
      <w:bookmarkStart w:id="201" w:name="_Toc9657"/>
      <w:bookmarkStart w:id="202" w:name="_Toc13625"/>
      <w:r>
        <w:rPr>
          <w:rFonts w:hint="default" w:ascii="Times New Roman" w:hAnsi="Times New Roman" w:eastAsia="黑体" w:cs="Times New Roman"/>
          <w:lang w:val="en-US" w:eastAsia="zh-CN"/>
        </w:rPr>
        <w:t>三、提升城市精细化管理水平</w:t>
      </w:r>
      <w:bookmarkEnd w:id="200"/>
      <w:bookmarkEnd w:id="201"/>
      <w:bookmarkEnd w:id="202"/>
    </w:p>
    <w:p w14:paraId="79A6E5BE">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加强城市生态环境治理。</w:t>
      </w:r>
      <w:r>
        <w:rPr>
          <w:rFonts w:hint="default" w:ascii="Times New Roman" w:hAnsi="Times New Roman" w:cs="Times New Roman"/>
          <w:lang w:val="en-US" w:eastAsia="zh-CN"/>
        </w:rPr>
        <w:t>巩固国家卫生城市创建成果。</w:t>
      </w:r>
      <w:r>
        <w:rPr>
          <w:rFonts w:hint="default" w:ascii="Times New Roman" w:hAnsi="Times New Roman" w:cs="Times New Roman"/>
        </w:rPr>
        <w:t>健全城市公园和绿道网络体系，建设口袋公园，推进绿地开放共享。</w:t>
      </w:r>
      <w:r>
        <w:rPr>
          <w:rFonts w:hint="default" w:ascii="Times New Roman" w:hAnsi="Times New Roman" w:cs="Times New Roman"/>
          <w:lang w:val="en-US" w:eastAsia="zh-CN"/>
        </w:rPr>
        <w:t>抓好背街小巷改造，强化大气、噪声、固体废物、建筑扬尘等环境治理。加快环卫基础设施升级改造，纵深推进环卫一体化，加强垃圾分类处置设施建设，改造提升及增加公共厕所。</w:t>
      </w:r>
    </w:p>
    <w:p w14:paraId="00CA6960">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增强城市安全韧性。</w:t>
      </w:r>
      <w:r>
        <w:rPr>
          <w:rFonts w:hint="default" w:ascii="Times New Roman" w:hAnsi="Times New Roman" w:cs="Times New Roman"/>
          <w:lang w:val="en-US" w:eastAsia="zh-CN"/>
        </w:rPr>
        <w:t>加强房屋和市政基础设施安全管理。健全洪涝联排联调机制，推动城市及周边排涝通道建设，提升城市排水防涝能力。统筹利用地上地下空间，加强</w:t>
      </w:r>
      <w:r>
        <w:rPr>
          <w:rFonts w:hint="eastAsia" w:ascii="Times New Roman" w:hAnsi="Times New Roman" w:cs="Times New Roman"/>
          <w:lang w:val="en-US" w:eastAsia="zh-CN"/>
        </w:rPr>
        <w:t>“</w:t>
      </w:r>
      <w:r>
        <w:rPr>
          <w:rFonts w:hint="default" w:ascii="Times New Roman" w:hAnsi="Times New Roman" w:cs="Times New Roman"/>
          <w:lang w:val="en-US" w:eastAsia="zh-CN"/>
        </w:rPr>
        <w:t>平急两用</w:t>
      </w:r>
      <w:r>
        <w:rPr>
          <w:rFonts w:hint="eastAsia" w:ascii="Times New Roman" w:hAnsi="Times New Roman" w:cs="Times New Roman"/>
          <w:lang w:val="en-US" w:eastAsia="zh-CN"/>
        </w:rPr>
        <w:t>”</w:t>
      </w:r>
      <w:r>
        <w:rPr>
          <w:rFonts w:hint="default" w:ascii="Times New Roman" w:hAnsi="Times New Roman" w:cs="Times New Roman"/>
          <w:lang w:val="en-US" w:eastAsia="zh-CN"/>
        </w:rPr>
        <w:t>公共基础设施建设。</w:t>
      </w:r>
      <w:r>
        <w:rPr>
          <w:rFonts w:hint="default" w:ascii="Times New Roman" w:hAnsi="Times New Roman" w:cs="Times New Roman"/>
        </w:rPr>
        <w:t>加强城市道路、给排水等基础设施建设管理和维护，保障市政公用设施安全高效运行。</w:t>
      </w:r>
    </w:p>
    <w:p w14:paraId="42C35413">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rPr>
      </w:pPr>
      <w:r>
        <w:rPr>
          <w:rFonts w:hint="default" w:ascii="Times New Roman" w:hAnsi="Times New Roman" w:eastAsia="楷体_GB2312" w:cs="Times New Roman"/>
          <w:lang w:val="en-US" w:eastAsia="zh-CN"/>
        </w:rPr>
        <w:t>推动建设文明城市。</w:t>
      </w:r>
      <w:r>
        <w:rPr>
          <w:rFonts w:hint="default" w:ascii="Times New Roman" w:hAnsi="Times New Roman" w:cs="Times New Roman"/>
          <w:lang w:val="en-US" w:eastAsia="zh-CN"/>
        </w:rPr>
        <w:t>建立城市风貌管理制度，加强建筑设计管理，让城市建筑更加体现中华美学和时代风尚。统筹塑造地上地下风貌，推行分层开发和立体开发，增加景观节点和开敞空间。常态化开展占道经营、乱停乱放、市场外溢等综合整治，打造靓美街道。完善历史文化保护传承体系，加大历史街区、古建筑、古民居等城市历史文化遗产保护传承、活化利用力度，更好赓续历史文脉。大力弘扬社会主义核心价值观，推动形成与现代化人民城市相适应的思想观念、文明风尚、行为规范，提高市民文明素质，塑造彰显文化底蕴和独特气质的城市精神。</w:t>
      </w:r>
    </w:p>
    <w:p w14:paraId="301A3E8F">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推进建设智慧城市。</w:t>
      </w:r>
      <w:r>
        <w:rPr>
          <w:rFonts w:hint="default" w:ascii="Times New Roman" w:hAnsi="Times New Roman" w:cs="Times New Roman"/>
          <w:lang w:val="en-US" w:eastAsia="zh-CN"/>
        </w:rPr>
        <w:t>依托城市治理融合指挥中心、智慧城市体验中心、大数据中心，深化数据资源开发和多场景应用，推动政务服务</w:t>
      </w:r>
      <w:r>
        <w:rPr>
          <w:rFonts w:hint="eastAsia" w:ascii="Times New Roman" w:hAnsi="Times New Roman" w:cs="Times New Roman"/>
          <w:lang w:val="en-US" w:eastAsia="zh-CN"/>
        </w:rPr>
        <w:t>“</w:t>
      </w:r>
      <w:r>
        <w:rPr>
          <w:rFonts w:hint="default" w:ascii="Times New Roman" w:hAnsi="Times New Roman" w:cs="Times New Roman"/>
          <w:lang w:val="en-US" w:eastAsia="zh-CN"/>
        </w:rPr>
        <w:t>一网通办</w:t>
      </w:r>
      <w:r>
        <w:rPr>
          <w:rFonts w:hint="eastAsia" w:ascii="Times New Roman" w:hAnsi="Times New Roman" w:cs="Times New Roman"/>
          <w:lang w:val="en-US" w:eastAsia="zh-CN"/>
        </w:rPr>
        <w:t>”</w:t>
      </w:r>
      <w:r>
        <w:rPr>
          <w:rFonts w:hint="default" w:ascii="Times New Roman" w:hAnsi="Times New Roman" w:cs="Times New Roman"/>
          <w:lang w:val="en-US" w:eastAsia="zh-CN"/>
        </w:rPr>
        <w:t>、城市运行</w:t>
      </w:r>
      <w:r>
        <w:rPr>
          <w:rFonts w:hint="eastAsia" w:ascii="Times New Roman" w:hAnsi="Times New Roman" w:cs="Times New Roman"/>
          <w:lang w:val="en-US" w:eastAsia="zh-CN"/>
        </w:rPr>
        <w:t>“</w:t>
      </w:r>
      <w:r>
        <w:rPr>
          <w:rFonts w:hint="default" w:ascii="Times New Roman" w:hAnsi="Times New Roman" w:cs="Times New Roman"/>
          <w:lang w:val="en-US" w:eastAsia="zh-CN"/>
        </w:rPr>
        <w:t>一网统管</w:t>
      </w:r>
      <w:r>
        <w:rPr>
          <w:rFonts w:hint="eastAsia" w:ascii="Times New Roman" w:hAnsi="Times New Roman" w:cs="Times New Roman"/>
          <w:lang w:val="en-US" w:eastAsia="zh-CN"/>
        </w:rPr>
        <w:t>”</w:t>
      </w:r>
      <w:r>
        <w:rPr>
          <w:rFonts w:hint="default" w:ascii="Times New Roman" w:hAnsi="Times New Roman" w:cs="Times New Roman"/>
          <w:lang w:val="en-US" w:eastAsia="zh-CN"/>
        </w:rPr>
        <w:t>、公共服务</w:t>
      </w:r>
      <w:r>
        <w:rPr>
          <w:rFonts w:hint="eastAsia" w:ascii="Times New Roman" w:hAnsi="Times New Roman" w:cs="Times New Roman"/>
          <w:lang w:val="en-US" w:eastAsia="zh-CN"/>
        </w:rPr>
        <w:t>“</w:t>
      </w:r>
      <w:r>
        <w:rPr>
          <w:rFonts w:hint="default" w:ascii="Times New Roman" w:hAnsi="Times New Roman" w:cs="Times New Roman"/>
          <w:lang w:val="en-US" w:eastAsia="zh-CN"/>
        </w:rPr>
        <w:t>一网通享</w:t>
      </w:r>
      <w:r>
        <w:rPr>
          <w:rFonts w:hint="eastAsia" w:ascii="Times New Roman" w:hAnsi="Times New Roman" w:cs="Times New Roman"/>
          <w:lang w:val="en-US" w:eastAsia="zh-CN"/>
        </w:rPr>
        <w:t>”</w:t>
      </w:r>
      <w:r>
        <w:rPr>
          <w:rFonts w:hint="default" w:ascii="Times New Roman" w:hAnsi="Times New Roman" w:cs="Times New Roman"/>
          <w:lang w:val="en-US" w:eastAsia="zh-CN"/>
        </w:rPr>
        <w:t>。推进智慧交通、智慧水利、智慧市政、智慧安防等工程，加强市容整治、违建查处、交通秩序、公共安全等领域</w:t>
      </w:r>
      <w:r>
        <w:rPr>
          <w:rFonts w:hint="eastAsia" w:ascii="Times New Roman" w:hAnsi="Times New Roman" w:cs="Times New Roman"/>
          <w:lang w:val="en-US" w:eastAsia="zh-CN"/>
        </w:rPr>
        <w:t>“</w:t>
      </w:r>
      <w:r>
        <w:rPr>
          <w:rFonts w:hint="default" w:ascii="Times New Roman" w:hAnsi="Times New Roman" w:cs="Times New Roman"/>
          <w:lang w:val="en-US" w:eastAsia="zh-CN"/>
        </w:rPr>
        <w:t>网格化+智慧化</w:t>
      </w:r>
      <w:r>
        <w:rPr>
          <w:rFonts w:hint="eastAsia" w:ascii="Times New Roman" w:hAnsi="Times New Roman" w:cs="Times New Roman"/>
          <w:lang w:val="en-US" w:eastAsia="zh-CN"/>
        </w:rPr>
        <w:t>”</w:t>
      </w:r>
      <w:r>
        <w:rPr>
          <w:rFonts w:hint="default" w:ascii="Times New Roman" w:hAnsi="Times New Roman" w:cs="Times New Roman"/>
          <w:lang w:val="en-US" w:eastAsia="zh-CN"/>
        </w:rPr>
        <w:t>治理，构建全过程、全周期的城市数字治理体系。</w:t>
      </w:r>
    </w:p>
    <w:tbl>
      <w:tblPr>
        <w:tblStyle w:val="15"/>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8"/>
      </w:tblGrid>
      <w:tr w14:paraId="53A2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8828" w:type="dxa"/>
            <w:noWrap w:val="0"/>
            <w:vAlign w:val="center"/>
          </w:tcPr>
          <w:p w14:paraId="0ECA113E">
            <w:pPr>
              <w:keepNext w:val="0"/>
              <w:keepLines w:val="0"/>
              <w:pageBreakBefore w:val="0"/>
              <w:widowControl w:val="0"/>
              <w:kinsoku/>
              <w:wordWrap/>
              <w:overflowPunct/>
              <w:topLinePunct w:val="0"/>
              <w:autoSpaceDE/>
              <w:autoSpaceDN/>
              <w:bidi w:val="0"/>
              <w:adjustRightInd/>
              <w:snapToGrid/>
              <w:spacing w:line="240" w:lineRule="auto"/>
              <w:ind w:firstLine="552" w:firstLineChars="20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专栏6-1  高品质中心城区建设工程</w:t>
            </w:r>
          </w:p>
        </w:tc>
      </w:tr>
      <w:tr w14:paraId="095C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trPr>
        <w:tc>
          <w:tcPr>
            <w:tcW w:w="8828" w:type="dxa"/>
            <w:noWrap w:val="0"/>
            <w:vAlign w:val="top"/>
          </w:tcPr>
          <w:p w14:paraId="056EFC8C">
            <w:pPr>
              <w:keepNext w:val="0"/>
              <w:keepLines w:val="0"/>
              <w:pageBreakBefore w:val="0"/>
              <w:widowControl w:val="0"/>
              <w:kinsoku/>
              <w:wordWrap/>
              <w:overflowPunct/>
              <w:topLinePunct w:val="0"/>
              <w:autoSpaceDE/>
              <w:autoSpaceDN/>
              <w:bidi w:val="0"/>
              <w:adjustRightInd/>
              <w:snapToGrid/>
              <w:spacing w:line="240" w:lineRule="auto"/>
              <w:ind w:firstLine="472" w:firstLineChars="200"/>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城市有机更新工程。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重点建设城东片区一体化开发</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文庙巷城市更新</w:t>
            </w:r>
            <w:r>
              <w:rPr>
                <w:rFonts w:hint="default" w:ascii="Times New Roman" w:hAnsi="Times New Roman" w:cs="Times New Roman"/>
                <w:b w:val="0"/>
                <w:bCs w:val="0"/>
                <w:color w:val="auto"/>
                <w:spacing w:val="0"/>
                <w:kern w:val="2"/>
                <w:sz w:val="24"/>
                <w:szCs w:val="24"/>
                <w:vertAlign w:val="baseline"/>
                <w:lang w:val="en-US" w:eastAsia="zh-CN" w:bidi="ar-SA"/>
              </w:rPr>
              <w:t>、莲花池公园片区城市更新、电梯加装电动车阻止系统、中心城区广场改造提升、军干所旧址开发、中储粮汉中直属库老库区城市更新、广坪南片区城市更新、文化街片区城市更新、河东店镇316国道以西棚户区二期、铺镇新桥棚户区改造二期、原理想化工厂区改造及开发、汉中日报社老旧厂区改造提升等</w:t>
            </w:r>
            <w:r>
              <w:rPr>
                <w:rFonts w:hint="default" w:ascii="Times New Roman" w:hAnsi="Times New Roman" w:eastAsia="仿宋_GB2312" w:cs="Times New Roman"/>
                <w:b w:val="0"/>
                <w:bCs w:val="0"/>
                <w:color w:val="auto"/>
                <w:spacing w:val="0"/>
                <w:kern w:val="2"/>
                <w:sz w:val="24"/>
                <w:szCs w:val="24"/>
                <w:vertAlign w:val="baseline"/>
                <w:lang w:val="en-US" w:eastAsia="zh-CN" w:bidi="ar-SA"/>
              </w:rPr>
              <w:t>项目</w:t>
            </w:r>
            <w:r>
              <w:rPr>
                <w:rFonts w:hint="default" w:ascii="Times New Roman" w:hAnsi="Times New Roman" w:cs="Times New Roman"/>
                <w:b w:val="0"/>
                <w:bCs w:val="0"/>
                <w:color w:val="auto"/>
                <w:spacing w:val="0"/>
                <w:kern w:val="2"/>
                <w:sz w:val="24"/>
                <w:szCs w:val="24"/>
                <w:vertAlign w:val="baseline"/>
                <w:lang w:val="en-US" w:eastAsia="zh-CN" w:bidi="ar-SA"/>
              </w:rPr>
              <w:t>。</w:t>
            </w:r>
          </w:p>
          <w:p w14:paraId="41B0E54C">
            <w:pPr>
              <w:keepNext w:val="0"/>
              <w:keepLines w:val="0"/>
              <w:pageBreakBefore w:val="0"/>
              <w:widowControl w:val="0"/>
              <w:kinsoku/>
              <w:wordWrap/>
              <w:overflowPunct/>
              <w:topLinePunct w:val="0"/>
              <w:autoSpaceDE/>
              <w:autoSpaceDN/>
              <w:bidi w:val="0"/>
              <w:adjustRightInd/>
              <w:snapToGrid/>
              <w:spacing w:line="240" w:lineRule="auto"/>
              <w:ind w:firstLine="472" w:firstLineChars="200"/>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城市基础设施提升工程。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w:t>
            </w:r>
            <w:r>
              <w:rPr>
                <w:rFonts w:hint="default" w:ascii="Times New Roman" w:hAnsi="Times New Roman" w:cs="Times New Roman"/>
                <w:b w:val="0"/>
                <w:bCs w:val="0"/>
                <w:color w:val="auto"/>
                <w:spacing w:val="0"/>
                <w:kern w:val="2"/>
                <w:sz w:val="24"/>
                <w:szCs w:val="24"/>
                <w:vertAlign w:val="baseline"/>
                <w:lang w:val="en-US" w:eastAsia="zh-CN" w:bidi="ar-SA"/>
              </w:rPr>
              <w:t>中心城区排水管道及附属设施更新工程、中心城区供水管网改造及智能化提升、易涝积水点智能化监管工程、东排洪渠污水排放点位综合治理工程、城市燃气设施更新、排水管网病害整治改造工程、博望三路（新民三路－兴汉路）基础设施、人行过街天桥、智慧路灯改造提升、城东热源站及集中供热管网、</w:t>
            </w:r>
            <w:r>
              <w:rPr>
                <w:rFonts w:hint="default" w:ascii="Times New Roman" w:hAnsi="Times New Roman" w:eastAsia="仿宋_GB2312" w:cs="Times New Roman"/>
                <w:b w:val="0"/>
                <w:bCs w:val="0"/>
                <w:color w:val="auto"/>
                <w:spacing w:val="0"/>
                <w:kern w:val="2"/>
                <w:sz w:val="24"/>
                <w:szCs w:val="24"/>
                <w:vertAlign w:val="baseline"/>
                <w:lang w:val="en-US" w:eastAsia="zh-CN" w:bidi="ar-SA"/>
              </w:rPr>
              <w:t>沙沿沟排洪渠雨污分流改造整治工程</w:t>
            </w:r>
            <w:r>
              <w:rPr>
                <w:rFonts w:hint="default" w:ascii="Times New Roman" w:hAnsi="Times New Roman" w:cs="Times New Roman"/>
                <w:b w:val="0"/>
                <w:bCs w:val="0"/>
                <w:color w:val="auto"/>
                <w:spacing w:val="0"/>
                <w:kern w:val="2"/>
                <w:sz w:val="24"/>
                <w:szCs w:val="24"/>
                <w:vertAlign w:val="baseline"/>
                <w:lang w:val="en-US" w:eastAsia="zh-CN" w:bidi="ar-SA"/>
              </w:rPr>
              <w:t>等项目。</w:t>
            </w:r>
          </w:p>
          <w:p w14:paraId="5545587E">
            <w:pPr>
              <w:keepNext w:val="0"/>
              <w:keepLines w:val="0"/>
              <w:pageBreakBefore w:val="0"/>
              <w:widowControl w:val="0"/>
              <w:kinsoku/>
              <w:wordWrap/>
              <w:overflowPunct/>
              <w:topLinePunct w:val="0"/>
              <w:autoSpaceDE/>
              <w:autoSpaceDN/>
              <w:bidi w:val="0"/>
              <w:adjustRightInd/>
              <w:snapToGrid/>
              <w:spacing w:line="240" w:lineRule="auto"/>
              <w:ind w:firstLine="472" w:firstLineChars="200"/>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城市治理能力提升工程。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重点建设汉台区历史文化名城古建筑修缮工程</w:t>
            </w:r>
            <w:r>
              <w:rPr>
                <w:rFonts w:hint="default" w:ascii="Times New Roman" w:hAnsi="Times New Roman" w:cs="Times New Roman"/>
                <w:b w:val="0"/>
                <w:bCs w:val="0"/>
                <w:color w:val="auto"/>
                <w:spacing w:val="0"/>
                <w:kern w:val="2"/>
                <w:sz w:val="24"/>
                <w:szCs w:val="24"/>
                <w:vertAlign w:val="baseline"/>
                <w:lang w:val="en-US" w:eastAsia="zh-CN" w:bidi="ar-SA"/>
              </w:rPr>
              <w:t>、汉中路背街小巷基础功能提升、生活垃圾收转运设施设备更新、智慧立体停车场、公共泊车位特许经营权、中心城区电动自行车无线充电设施、城市道路地下空间安全整治工程、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中心城区人防工程改造</w:t>
            </w:r>
            <w:r>
              <w:rPr>
                <w:rFonts w:hint="default" w:ascii="Times New Roman" w:hAnsi="Times New Roman" w:cs="Times New Roman"/>
                <w:b w:val="0"/>
                <w:bCs w:val="0"/>
                <w:color w:val="auto"/>
                <w:spacing w:val="0"/>
                <w:kern w:val="2"/>
                <w:sz w:val="24"/>
                <w:szCs w:val="24"/>
                <w:vertAlign w:val="baseline"/>
                <w:lang w:val="en-US" w:eastAsia="zh-CN" w:bidi="ar-SA"/>
              </w:rPr>
              <w:t>等项目。</w:t>
            </w:r>
          </w:p>
        </w:tc>
      </w:tr>
    </w:tbl>
    <w:p w14:paraId="7725A2FF">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黑体" w:hAnsi="黑体" w:eastAsia="黑体" w:cs="黑体"/>
          <w:lang w:val="en-US" w:eastAsia="zh-CN"/>
        </w:rPr>
      </w:pPr>
      <w:bookmarkStart w:id="203" w:name="_Toc775"/>
      <w:bookmarkStart w:id="204" w:name="_Toc14569"/>
      <w:bookmarkStart w:id="205" w:name="_Toc26864"/>
      <w:r>
        <w:rPr>
          <w:rFonts w:hint="eastAsia" w:ascii="黑体" w:hAnsi="黑体" w:eastAsia="黑体" w:cs="黑体"/>
          <w:lang w:val="en-US" w:eastAsia="zh-CN"/>
        </w:rPr>
        <w:t>第二节  提升城镇综合承载能力</w:t>
      </w:r>
      <w:bookmarkEnd w:id="203"/>
      <w:bookmarkEnd w:id="204"/>
      <w:bookmarkEnd w:id="205"/>
    </w:p>
    <w:p w14:paraId="1A94F498">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rPr>
      </w:pPr>
      <w:r>
        <w:rPr>
          <w:rFonts w:hint="default" w:ascii="Times New Roman" w:hAnsi="Times New Roman" w:cs="Times New Roman"/>
          <w:lang w:val="en-US" w:eastAsia="zh-CN"/>
        </w:rPr>
        <w:t>坚持突出特色、错位发展、集聚提升，一体化推进空间布局、产业协同、基础设施，</w:t>
      </w:r>
      <w:r>
        <w:rPr>
          <w:rFonts w:hint="default" w:ascii="Times New Roman" w:hAnsi="Times New Roman" w:cs="Times New Roman"/>
        </w:rPr>
        <w:t>建设城镇道路、供水、排水、供电、通讯、垃圾站点等基础设施，</w:t>
      </w:r>
      <w:r>
        <w:rPr>
          <w:rFonts w:hint="default" w:ascii="Times New Roman" w:hAnsi="Times New Roman" w:cs="Times New Roman"/>
          <w:lang w:val="en-US" w:eastAsia="zh-CN"/>
        </w:rPr>
        <w:t>完善城镇服务功能、做强镇域经济、彰显城镇特色，引导农民向城镇有序转移，增强城镇发展活力</w:t>
      </w:r>
      <w:r>
        <w:rPr>
          <w:rFonts w:hint="default" w:ascii="Times New Roman" w:hAnsi="Times New Roman" w:cs="Times New Roman"/>
        </w:rPr>
        <w:t>。</w:t>
      </w:r>
    </w:p>
    <w:p w14:paraId="198D7CFD">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eastAsia="黑体" w:cs="Times New Roman"/>
          <w:lang w:val="en-US" w:eastAsia="zh-CN"/>
        </w:rPr>
      </w:pPr>
      <w:bookmarkStart w:id="206" w:name="_Toc2450"/>
      <w:bookmarkStart w:id="207" w:name="_Toc6434"/>
      <w:r>
        <w:rPr>
          <w:rFonts w:hint="default" w:ascii="Times New Roman" w:hAnsi="Times New Roman" w:eastAsia="黑体" w:cs="Times New Roman"/>
          <w:lang w:val="en-US" w:eastAsia="zh-CN"/>
        </w:rPr>
        <w:t>一、建设三大</w:t>
      </w:r>
      <w:bookmarkEnd w:id="206"/>
      <w:r>
        <w:rPr>
          <w:rFonts w:hint="default" w:ascii="Times New Roman" w:hAnsi="Times New Roman" w:eastAsia="黑体" w:cs="Times New Roman"/>
          <w:lang w:val="en-US" w:eastAsia="zh-CN"/>
        </w:rPr>
        <w:t>重点镇</w:t>
      </w:r>
      <w:bookmarkEnd w:id="207"/>
    </w:p>
    <w:p w14:paraId="596EA82B">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rPr>
      </w:pPr>
      <w:r>
        <w:rPr>
          <w:rFonts w:hint="default" w:ascii="Times New Roman" w:hAnsi="Times New Roman" w:eastAsia="楷体_GB2312" w:cs="Times New Roman"/>
        </w:rPr>
        <w:t>铺镇。</w:t>
      </w:r>
      <w:r>
        <w:rPr>
          <w:rFonts w:hint="default" w:ascii="Times New Roman" w:hAnsi="Times New Roman" w:cs="Times New Roman"/>
        </w:rPr>
        <w:t>提升城镇基础设施和公共服务水平，</w:t>
      </w:r>
      <w:r>
        <w:rPr>
          <w:rFonts w:hint="default" w:ascii="Times New Roman" w:hAnsi="Times New Roman" w:cs="Times New Roman"/>
          <w:lang w:val="en-US" w:eastAsia="zh-CN"/>
        </w:rPr>
        <w:t>拓展</w:t>
      </w:r>
      <w:r>
        <w:rPr>
          <w:rFonts w:hint="default" w:ascii="Times New Roman" w:hAnsi="Times New Roman" w:cs="Times New Roman"/>
        </w:rPr>
        <w:t>城镇骨架，</w:t>
      </w:r>
      <w:r>
        <w:rPr>
          <w:rFonts w:hint="default" w:ascii="Times New Roman" w:hAnsi="Times New Roman" w:cs="Times New Roman"/>
          <w:lang w:val="en-US" w:eastAsia="zh-CN"/>
        </w:rPr>
        <w:t>大力发展现代商贸、现代物流等现代服务业，推进农业强镇建设，努力</w:t>
      </w:r>
      <w:r>
        <w:rPr>
          <w:rFonts w:hint="default" w:ascii="Times New Roman" w:hAnsi="Times New Roman" w:cs="Times New Roman"/>
        </w:rPr>
        <w:t>创建国家级产城融合示范镇。</w:t>
      </w:r>
    </w:p>
    <w:p w14:paraId="639BD91B">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rPr>
      </w:pPr>
      <w:r>
        <w:rPr>
          <w:rFonts w:hint="default" w:ascii="Times New Roman" w:hAnsi="Times New Roman" w:eastAsia="楷体_GB2312" w:cs="Times New Roman"/>
        </w:rPr>
        <w:t>河东店镇。</w:t>
      </w:r>
      <w:r>
        <w:rPr>
          <w:rFonts w:hint="default" w:ascii="Times New Roman" w:hAnsi="Times New Roman" w:cs="Times New Roman"/>
          <w:lang w:val="en-US" w:eastAsia="zh-CN"/>
        </w:rPr>
        <w:t>加强城镇基础设施建设，推进建设古褒国文化旅游度假区，</w:t>
      </w:r>
      <w:r>
        <w:rPr>
          <w:rFonts w:hint="default" w:ascii="Times New Roman" w:hAnsi="Times New Roman" w:cs="Times New Roman"/>
        </w:rPr>
        <w:t>依托花果山农家乐、褒河蜜橘等</w:t>
      </w:r>
      <w:r>
        <w:rPr>
          <w:rFonts w:hint="default" w:ascii="Times New Roman" w:hAnsi="Times New Roman" w:cs="Times New Roman"/>
          <w:lang w:val="en-US" w:eastAsia="zh-CN"/>
        </w:rPr>
        <w:t>生态</w:t>
      </w:r>
      <w:r>
        <w:rPr>
          <w:rFonts w:hint="default" w:ascii="Times New Roman" w:hAnsi="Times New Roman" w:cs="Times New Roman"/>
        </w:rPr>
        <w:t>资源，发展城郊</w:t>
      </w:r>
      <w:r>
        <w:rPr>
          <w:rFonts w:hint="default" w:ascii="Times New Roman" w:hAnsi="Times New Roman" w:cs="Times New Roman"/>
          <w:lang w:val="en-US" w:eastAsia="zh-CN"/>
        </w:rPr>
        <w:t>农业、</w:t>
      </w:r>
      <w:r>
        <w:rPr>
          <w:rFonts w:hint="default" w:ascii="Times New Roman" w:hAnsi="Times New Roman" w:cs="Times New Roman"/>
        </w:rPr>
        <w:t>休闲农业和</w:t>
      </w:r>
      <w:r>
        <w:rPr>
          <w:rFonts w:hint="default" w:ascii="Times New Roman" w:hAnsi="Times New Roman" w:cs="Times New Roman"/>
          <w:lang w:val="en-US" w:eastAsia="zh-CN"/>
        </w:rPr>
        <w:t>乡村旅游</w:t>
      </w:r>
      <w:r>
        <w:rPr>
          <w:rFonts w:hint="default" w:ascii="Times New Roman" w:hAnsi="Times New Roman" w:cs="Times New Roman"/>
        </w:rPr>
        <w:t>，</w:t>
      </w:r>
      <w:r>
        <w:rPr>
          <w:rFonts w:hint="default" w:ascii="Times New Roman" w:hAnsi="Times New Roman" w:cs="Times New Roman"/>
          <w:lang w:val="en-US" w:eastAsia="zh-CN"/>
        </w:rPr>
        <w:t>积极发展精品民宿，推动一二三产融合发展，</w:t>
      </w:r>
      <w:r>
        <w:rPr>
          <w:rFonts w:hint="default" w:ascii="Times New Roman" w:hAnsi="Times New Roman" w:cs="Times New Roman"/>
        </w:rPr>
        <w:t>打造文旅医养名镇。</w:t>
      </w:r>
    </w:p>
    <w:p w14:paraId="09F27771">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rPr>
      </w:pPr>
      <w:r>
        <w:rPr>
          <w:rFonts w:hint="default" w:ascii="Times New Roman" w:hAnsi="Times New Roman" w:eastAsia="楷体_GB2312" w:cs="Times New Roman"/>
        </w:rPr>
        <w:t>武乡镇。</w:t>
      </w:r>
      <w:r>
        <w:rPr>
          <w:rFonts w:hint="default" w:ascii="Times New Roman" w:hAnsi="Times New Roman" w:cs="Times New Roman"/>
          <w:lang w:val="en-US" w:eastAsia="zh-CN"/>
        </w:rPr>
        <w:t>全面推进集镇更新改造，提升古镇风貌，提升城镇综合功能，深度发掘天台国家森林公园、哑姑山等旅游资源，大力</w:t>
      </w:r>
      <w:r>
        <w:rPr>
          <w:rFonts w:hint="default" w:ascii="Times New Roman" w:hAnsi="Times New Roman" w:cs="Times New Roman"/>
        </w:rPr>
        <w:t>发展文化旅游业，打造文化设施完善、文化特色彰显、文化氛围浓厚的省级</w:t>
      </w:r>
      <w:r>
        <w:rPr>
          <w:rFonts w:hint="default" w:ascii="Times New Roman" w:hAnsi="Times New Roman" w:cs="Times New Roman"/>
          <w:lang w:val="en-US" w:eastAsia="zh-CN"/>
        </w:rPr>
        <w:t>历史文化</w:t>
      </w:r>
      <w:r>
        <w:rPr>
          <w:rFonts w:hint="default" w:ascii="Times New Roman" w:hAnsi="Times New Roman" w:cs="Times New Roman"/>
        </w:rPr>
        <w:t>古镇。</w:t>
      </w:r>
    </w:p>
    <w:p w14:paraId="19AA09CA">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eastAsia="黑体" w:cs="Times New Roman"/>
          <w:lang w:val="en-US" w:eastAsia="zh-CN"/>
        </w:rPr>
      </w:pPr>
      <w:bookmarkStart w:id="208" w:name="_Toc30779"/>
      <w:bookmarkStart w:id="209" w:name="_Toc7750"/>
      <w:r>
        <w:rPr>
          <w:rFonts w:hint="default" w:ascii="Times New Roman" w:hAnsi="Times New Roman" w:eastAsia="黑体" w:cs="Times New Roman"/>
          <w:lang w:val="en-US" w:eastAsia="zh-CN"/>
        </w:rPr>
        <w:t>二、打造四大特色镇</w:t>
      </w:r>
      <w:bookmarkEnd w:id="208"/>
      <w:bookmarkEnd w:id="209"/>
    </w:p>
    <w:p w14:paraId="0AABB565">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lang w:val="en-US" w:eastAsia="zh-CN"/>
        </w:rPr>
      </w:pPr>
      <w:r>
        <w:rPr>
          <w:rFonts w:hint="default" w:ascii="Times New Roman" w:hAnsi="Times New Roman" w:eastAsia="楷体_GB2312" w:cs="Times New Roman"/>
        </w:rPr>
        <w:t>老君镇。</w:t>
      </w:r>
      <w:r>
        <w:rPr>
          <w:rFonts w:hint="default" w:ascii="Times New Roman" w:hAnsi="Times New Roman" w:cs="Times New Roman"/>
          <w:lang w:val="en-US" w:eastAsia="zh-CN"/>
        </w:rPr>
        <w:t>紧扣</w:t>
      </w:r>
      <w:r>
        <w:rPr>
          <w:rFonts w:hint="eastAsia" w:ascii="Times New Roman" w:hAnsi="Times New Roman" w:cs="Times New Roman"/>
          <w:lang w:val="en-US" w:eastAsia="zh-CN"/>
        </w:rPr>
        <w:t>“</w:t>
      </w:r>
      <w:r>
        <w:rPr>
          <w:rFonts w:hint="default" w:ascii="Times New Roman" w:hAnsi="Times New Roman" w:cs="Times New Roman"/>
          <w:lang w:val="en-US" w:eastAsia="zh-CN"/>
        </w:rPr>
        <w:t>三园·三线·X产业</w:t>
      </w:r>
      <w:r>
        <w:rPr>
          <w:rFonts w:hint="eastAsia" w:ascii="Times New Roman" w:hAnsi="Times New Roman" w:cs="Times New Roman"/>
          <w:lang w:val="en-US" w:eastAsia="zh-CN"/>
        </w:rPr>
        <w:t>”</w:t>
      </w:r>
      <w:r>
        <w:rPr>
          <w:rFonts w:hint="default" w:ascii="Times New Roman" w:hAnsi="Times New Roman" w:cs="Times New Roman"/>
          <w:lang w:val="en-US" w:eastAsia="zh-CN"/>
        </w:rPr>
        <w:t>发展布局，加快建设食品加工业聚集园、冷链仓储物流园、低碳新型建材循环利用示范园和皇塘农文旅融合线、玉龙岛生态康养旅居线、林下生态经济休闲线，积极发展锦鲤观赏鱼、魔芋深加工等特色产业，建成联城带农融合发展强镇。</w:t>
      </w:r>
    </w:p>
    <w:p w14:paraId="000573CD">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lang w:eastAsia="zh-CN"/>
        </w:rPr>
      </w:pPr>
      <w:r>
        <w:rPr>
          <w:rFonts w:hint="default" w:ascii="Times New Roman" w:hAnsi="Times New Roman" w:eastAsia="楷体_GB2312" w:cs="Times New Roman"/>
        </w:rPr>
        <w:t>宗营镇。</w:t>
      </w:r>
      <w:r>
        <w:rPr>
          <w:rFonts w:hint="default" w:ascii="Times New Roman" w:hAnsi="Times New Roman" w:cs="Times New Roman"/>
          <w:lang w:val="en-US" w:eastAsia="zh-CN"/>
        </w:rPr>
        <w:t>围绕城乡协同发展样板镇定位，加强城镇基础设施建设，发展壮大康养研学、机械加工、特色农旅三大产业，推动生态保护与产业发展、城镇建设深度融合，积极打造</w:t>
      </w:r>
      <w:r>
        <w:rPr>
          <w:rFonts w:hint="default" w:ascii="Times New Roman" w:hAnsi="Times New Roman" w:cs="Times New Roman"/>
        </w:rPr>
        <w:t>农旅康养融合镇</w:t>
      </w:r>
      <w:r>
        <w:rPr>
          <w:rFonts w:hint="default" w:ascii="Times New Roman" w:hAnsi="Times New Roman" w:cs="Times New Roman"/>
          <w:lang w:eastAsia="zh-CN"/>
        </w:rPr>
        <w:t>。</w:t>
      </w:r>
    </w:p>
    <w:p w14:paraId="5C56AA59">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lang w:val="en-US" w:eastAsia="zh-CN"/>
        </w:rPr>
      </w:pPr>
      <w:r>
        <w:rPr>
          <w:rFonts w:hint="default" w:ascii="Times New Roman" w:hAnsi="Times New Roman" w:eastAsia="楷体_GB2312" w:cs="Times New Roman"/>
        </w:rPr>
        <w:t>汉王镇。</w:t>
      </w:r>
      <w:r>
        <w:rPr>
          <w:rFonts w:hint="default" w:ascii="Times New Roman" w:hAnsi="Times New Roman" w:cs="Times New Roman"/>
        </w:rPr>
        <w:t>完善城镇功能，大力发展柑橘、优质粮油</w:t>
      </w:r>
      <w:r>
        <w:rPr>
          <w:rFonts w:hint="default" w:ascii="Times New Roman" w:hAnsi="Times New Roman" w:cs="Times New Roman"/>
          <w:lang w:val="en-US" w:eastAsia="zh-CN"/>
        </w:rPr>
        <w:t>、设施蔬菜</w:t>
      </w:r>
      <w:r>
        <w:rPr>
          <w:rFonts w:hint="default" w:ascii="Times New Roman" w:hAnsi="Times New Roman" w:cs="Times New Roman"/>
        </w:rPr>
        <w:t>等特色优势农业，</w:t>
      </w:r>
      <w:r>
        <w:rPr>
          <w:rFonts w:hint="default" w:ascii="Times New Roman" w:hAnsi="Times New Roman" w:cs="Times New Roman"/>
          <w:lang w:val="en-US" w:eastAsia="zh-CN"/>
        </w:rPr>
        <w:t>积极发展乡村旅游和休闲农业，推动乡村产业融合发展，打造特色生态农业强镇。</w:t>
      </w:r>
    </w:p>
    <w:p w14:paraId="17CBEEFA">
      <w:pPr>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cs="Times New Roman"/>
          <w:lang w:val="en-US" w:eastAsia="zh-CN"/>
        </w:rPr>
      </w:pPr>
      <w:r>
        <w:rPr>
          <w:rFonts w:hint="default" w:ascii="Times New Roman" w:hAnsi="Times New Roman" w:eastAsia="楷体_GB2312" w:cs="Times New Roman"/>
        </w:rPr>
        <w:t>徐望镇。</w:t>
      </w:r>
      <w:r>
        <w:rPr>
          <w:rFonts w:hint="default" w:ascii="Times New Roman" w:hAnsi="Times New Roman" w:cs="Times New Roman"/>
          <w:lang w:val="en-US" w:eastAsia="zh-CN"/>
        </w:rPr>
        <w:t>巩固提升优质粮油、特色果蔬、生态养殖等主导产业，大力建设绿色农产品供应基地，积极发展生态康养与乡村休闲旅游，建成汉中市循环生态经济发展示范基地、近郊生态康养休闲目的地，打造循环经济示范镇。</w:t>
      </w:r>
    </w:p>
    <w:tbl>
      <w:tblPr>
        <w:tblStyle w:val="15"/>
        <w:tblpPr w:leftFromText="180" w:rightFromText="180" w:vertAnchor="text" w:horzAnchor="page" w:tblpX="1837" w:tblpY="35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8"/>
      </w:tblGrid>
      <w:tr w14:paraId="1B7B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828" w:type="dxa"/>
            <w:noWrap w:val="0"/>
            <w:vAlign w:val="center"/>
          </w:tcPr>
          <w:p w14:paraId="29ED73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专栏6-2  城镇承载能力提升工程</w:t>
            </w:r>
          </w:p>
        </w:tc>
      </w:tr>
      <w:tr w14:paraId="2494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noWrap w:val="0"/>
            <w:vAlign w:val="top"/>
          </w:tcPr>
          <w:p w14:paraId="62AB806F">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b/>
                <w:bCs/>
                <w:color w:val="auto"/>
                <w:spacing w:val="0"/>
                <w:kern w:val="2"/>
                <w:sz w:val="24"/>
                <w:szCs w:val="24"/>
                <w:vertAlign w:val="baseline"/>
                <w:lang w:val="en-US" w:eastAsia="zh-CN" w:bidi="ar-SA"/>
              </w:rPr>
            </w:pP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w:t>
            </w:r>
            <w:r>
              <w:rPr>
                <w:rFonts w:hint="default" w:ascii="Times New Roman" w:hAnsi="Times New Roman" w:cs="Times New Roman"/>
                <w:b w:val="0"/>
                <w:bCs w:val="0"/>
                <w:color w:val="auto"/>
                <w:spacing w:val="0"/>
                <w:kern w:val="2"/>
                <w:sz w:val="24"/>
                <w:szCs w:val="24"/>
                <w:vertAlign w:val="baseline"/>
                <w:lang w:val="en-US" w:eastAsia="zh-CN" w:bidi="ar-SA"/>
              </w:rPr>
              <w:t>建设汉台区城镇污水收集处理设施、汉台区乡镇污水处理厂、乡镇充换电设施补短板、河东店社会治理综合管理智慧平台、武乡镇集镇老旧片区改造、宗营镇集镇配套基础设施改造提升等项目。</w:t>
            </w:r>
          </w:p>
        </w:tc>
      </w:tr>
    </w:tbl>
    <w:p w14:paraId="613E4C99">
      <w:pPr>
        <w:jc w:val="center"/>
        <w:rPr>
          <w:rFonts w:hint="eastAsia" w:ascii="黑体" w:hAnsi="黑体" w:eastAsia="黑体" w:cs="黑体"/>
          <w:lang w:val="en-US" w:eastAsia="zh-CN"/>
        </w:rPr>
      </w:pPr>
      <w:bookmarkStart w:id="210" w:name="_Toc3714"/>
      <w:r>
        <w:rPr>
          <w:rFonts w:hint="eastAsia" w:ascii="黑体" w:hAnsi="黑体" w:eastAsia="黑体" w:cs="黑体"/>
          <w:lang w:val="en-US" w:eastAsia="zh-CN"/>
        </w:rPr>
        <w:t>第三节  扎实推进乡村全面振兴</w:t>
      </w:r>
      <w:bookmarkEnd w:id="210"/>
    </w:p>
    <w:p w14:paraId="67DE72D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cs="Times New Roman"/>
        </w:rPr>
        <w:t>把解决好</w:t>
      </w:r>
      <w:r>
        <w:rPr>
          <w:rFonts w:hint="eastAsia" w:ascii="Times New Roman" w:hAnsi="Times New Roman" w:cs="Times New Roman"/>
          <w:lang w:eastAsia="zh-CN"/>
        </w:rPr>
        <w:t>“</w:t>
      </w:r>
      <w:r>
        <w:rPr>
          <w:rFonts w:hint="default" w:ascii="Times New Roman" w:hAnsi="Times New Roman" w:cs="Times New Roman"/>
        </w:rPr>
        <w:t>三农</w:t>
      </w:r>
      <w:r>
        <w:rPr>
          <w:rFonts w:hint="eastAsia" w:ascii="Times New Roman" w:hAnsi="Times New Roman" w:cs="Times New Roman"/>
          <w:lang w:eastAsia="zh-CN"/>
        </w:rPr>
        <w:t>”</w:t>
      </w:r>
      <w:r>
        <w:rPr>
          <w:rFonts w:hint="default" w:ascii="Times New Roman" w:hAnsi="Times New Roman" w:cs="Times New Roman"/>
        </w:rPr>
        <w:t>问题作为工作重中之重，</w:t>
      </w:r>
      <w:r>
        <w:rPr>
          <w:rFonts w:hint="default" w:ascii="Times New Roman" w:hAnsi="Times New Roman" w:cs="Times New Roman"/>
          <w:lang w:val="en-US" w:eastAsia="zh-CN"/>
        </w:rPr>
        <w:t>以学习运用</w:t>
      </w:r>
      <w:r>
        <w:rPr>
          <w:rFonts w:hint="eastAsia" w:ascii="Times New Roman" w:hAnsi="Times New Roman" w:cs="Times New Roman"/>
          <w:lang w:val="en-US" w:eastAsia="zh-CN"/>
        </w:rPr>
        <w:t>“</w:t>
      </w:r>
      <w:r>
        <w:rPr>
          <w:rFonts w:hint="default" w:ascii="Times New Roman" w:hAnsi="Times New Roman" w:cs="Times New Roman"/>
          <w:lang w:val="en-US" w:eastAsia="zh-CN"/>
        </w:rPr>
        <w:t>千万工程</w:t>
      </w:r>
      <w:r>
        <w:rPr>
          <w:rFonts w:hint="eastAsia" w:ascii="Times New Roman" w:hAnsi="Times New Roman" w:cs="Times New Roman"/>
          <w:lang w:val="en-US" w:eastAsia="zh-CN"/>
        </w:rPr>
        <w:t>”</w:t>
      </w:r>
      <w:r>
        <w:rPr>
          <w:rFonts w:hint="default" w:ascii="Times New Roman" w:hAnsi="Times New Roman" w:cs="Times New Roman"/>
          <w:lang w:val="en-US" w:eastAsia="zh-CN"/>
        </w:rPr>
        <w:t>经验为引领，持续巩固拓展脱贫攻坚成果，统筹推进农业现代化与农村现代化，高标准高质量推进以工代赈项目建设，</w:t>
      </w:r>
      <w:r>
        <w:rPr>
          <w:rFonts w:hint="default" w:ascii="Times New Roman" w:hAnsi="Times New Roman" w:cs="Times New Roman"/>
        </w:rPr>
        <w:t>千方百计推动农业增效益、农村增活力、农民增收入，</w:t>
      </w:r>
      <w:r>
        <w:rPr>
          <w:rFonts w:hint="default" w:ascii="Times New Roman" w:hAnsi="Times New Roman" w:cs="Times New Roman"/>
          <w:lang w:val="en-US" w:eastAsia="zh-CN"/>
        </w:rPr>
        <w:t>谱写新时代新征程农业农村现代化发展新篇章。</w:t>
      </w:r>
    </w:p>
    <w:p w14:paraId="3594C84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eastAsia="黑体" w:cs="Times New Roman"/>
          <w:lang w:val="en-US" w:eastAsia="zh-CN"/>
        </w:rPr>
      </w:pPr>
      <w:r>
        <w:rPr>
          <w:rFonts w:hint="default" w:ascii="Times New Roman" w:hAnsi="Times New Roman" w:eastAsia="黑体" w:cs="Times New Roman"/>
          <w:lang w:val="en-US" w:eastAsia="zh-CN"/>
        </w:rPr>
        <w:t>一、提升农业综合生产能力</w:t>
      </w:r>
    </w:p>
    <w:p w14:paraId="13A99DC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增强粮食供给保障能力。</w:t>
      </w:r>
      <w:r>
        <w:rPr>
          <w:rFonts w:hint="default" w:ascii="Times New Roman" w:hAnsi="Times New Roman" w:cs="Times New Roman"/>
          <w:lang w:val="en-US" w:eastAsia="zh-CN"/>
        </w:rPr>
        <w:t>认真落实粮食安全党政同责要求，深入实施藏粮于地、藏粮于技战略。</w:t>
      </w:r>
      <w:r>
        <w:rPr>
          <w:rFonts w:hint="default" w:ascii="Times New Roman" w:hAnsi="Times New Roman" w:cs="Times New Roman"/>
        </w:rPr>
        <w:t>加强粮食功能区和特色农产品优势区建设，实施</w:t>
      </w:r>
      <w:r>
        <w:rPr>
          <w:rFonts w:hint="default" w:ascii="Times New Roman" w:hAnsi="Times New Roman" w:cs="Times New Roman"/>
          <w:lang w:val="en-US" w:eastAsia="zh-CN"/>
        </w:rPr>
        <w:t>稻谷</w:t>
      </w:r>
      <w:r>
        <w:rPr>
          <w:rFonts w:hint="default" w:ascii="Times New Roman" w:hAnsi="Times New Roman" w:cs="Times New Roman"/>
        </w:rPr>
        <w:t>单产提升行动，落实稻谷最低收购价政策、生产者补贴、耕地地力保护补贴等惠农政策</w:t>
      </w:r>
      <w:r>
        <w:rPr>
          <w:rFonts w:hint="default" w:ascii="Times New Roman" w:hAnsi="Times New Roman" w:cs="Times New Roman"/>
          <w:lang w:eastAsia="zh-CN"/>
        </w:rPr>
        <w:t>。</w:t>
      </w:r>
      <w:r>
        <w:rPr>
          <w:rFonts w:hint="default" w:ascii="Times New Roman" w:hAnsi="Times New Roman" w:cs="Times New Roman"/>
          <w:lang w:val="en-US" w:eastAsia="zh-CN"/>
        </w:rPr>
        <w:t>开展粮食节约行动，减少生产、流通、加工、存储、消费环节的粮食损耗和浪费，拒绝</w:t>
      </w:r>
      <w:r>
        <w:rPr>
          <w:rFonts w:hint="eastAsia" w:ascii="Times New Roman" w:hAnsi="Times New Roman" w:cs="Times New Roman"/>
          <w:lang w:val="en-US" w:eastAsia="zh-CN"/>
        </w:rPr>
        <w:t>“</w:t>
      </w:r>
      <w:r>
        <w:rPr>
          <w:rFonts w:hint="default" w:ascii="Times New Roman" w:hAnsi="Times New Roman" w:cs="Times New Roman"/>
          <w:lang w:val="en-US" w:eastAsia="zh-CN"/>
        </w:rPr>
        <w:t>舌尖上的浪费</w:t>
      </w:r>
      <w:r>
        <w:rPr>
          <w:rFonts w:hint="eastAsia" w:ascii="Times New Roman" w:hAnsi="Times New Roman" w:cs="Times New Roman"/>
          <w:lang w:val="en-US" w:eastAsia="zh-CN"/>
        </w:rPr>
        <w:t>”</w:t>
      </w:r>
      <w:r>
        <w:rPr>
          <w:rFonts w:hint="default" w:ascii="Times New Roman" w:hAnsi="Times New Roman" w:cs="Times New Roman"/>
          <w:lang w:val="en-US" w:eastAsia="zh-CN"/>
        </w:rPr>
        <w:t>。到2030年，确保粮食总产稳定在11.5万吨以上，油料总产稳定在1.5万吨。</w:t>
      </w:r>
    </w:p>
    <w:p w14:paraId="1629856E">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加强耕地保护与质量建设。</w:t>
      </w:r>
      <w:r>
        <w:rPr>
          <w:rFonts w:hint="default" w:ascii="Times New Roman" w:hAnsi="Times New Roman" w:cs="Times New Roman"/>
          <w:lang w:val="en-US" w:eastAsia="zh-CN"/>
        </w:rPr>
        <w:t>实行最严格耕地保护制度，坚决遏制耕地</w:t>
      </w:r>
      <w:r>
        <w:rPr>
          <w:rFonts w:hint="eastAsia" w:ascii="Times New Roman" w:hAnsi="Times New Roman" w:cs="Times New Roman"/>
          <w:lang w:val="en-US" w:eastAsia="zh-CN"/>
        </w:rPr>
        <w:t>“</w:t>
      </w:r>
      <w:r>
        <w:rPr>
          <w:rFonts w:hint="default" w:ascii="Times New Roman" w:hAnsi="Times New Roman" w:cs="Times New Roman"/>
          <w:lang w:val="en-US" w:eastAsia="zh-CN"/>
        </w:rPr>
        <w:t>非农化</w:t>
      </w:r>
      <w:r>
        <w:rPr>
          <w:rFonts w:hint="eastAsia" w:ascii="Times New Roman" w:hAnsi="Times New Roman" w:cs="Times New Roman"/>
          <w:lang w:val="en-US" w:eastAsia="zh-CN"/>
        </w:rPr>
        <w:t>”</w:t>
      </w:r>
      <w:r>
        <w:rPr>
          <w:rFonts w:hint="default" w:ascii="Times New Roman" w:hAnsi="Times New Roman" w:cs="Times New Roman"/>
          <w:lang w:val="en-US" w:eastAsia="zh-CN"/>
        </w:rPr>
        <w:t>、防止永久基本农田</w:t>
      </w:r>
      <w:r>
        <w:rPr>
          <w:rFonts w:hint="eastAsia" w:ascii="Times New Roman" w:hAnsi="Times New Roman" w:cs="Times New Roman"/>
          <w:lang w:val="en-US" w:eastAsia="zh-CN"/>
        </w:rPr>
        <w:t>“</w:t>
      </w:r>
      <w:r>
        <w:rPr>
          <w:rFonts w:hint="default" w:ascii="Times New Roman" w:hAnsi="Times New Roman" w:cs="Times New Roman"/>
          <w:lang w:val="en-US" w:eastAsia="zh-CN"/>
        </w:rPr>
        <w:t>非粮化</w:t>
      </w:r>
      <w:r>
        <w:rPr>
          <w:rFonts w:hint="eastAsia" w:ascii="Times New Roman" w:hAnsi="Times New Roman" w:cs="Times New Roman"/>
          <w:lang w:val="en-US" w:eastAsia="zh-CN"/>
        </w:rPr>
        <w:t>”</w:t>
      </w:r>
      <w:r>
        <w:rPr>
          <w:rFonts w:hint="default" w:ascii="Times New Roman" w:hAnsi="Times New Roman" w:cs="Times New Roman"/>
          <w:lang w:val="en-US" w:eastAsia="zh-CN"/>
        </w:rPr>
        <w:t>。大力推进高标准农田改造提升，扎实开展撂荒耕地整治，逐步把永久基本农田建成适宜耕作、旱涝保收、高产稳产的现代化良田。开展耕地有机质提升行动，增强农田土壤固碳能力。强化耕地质量监测监管，实施耕地土壤环境质量分类管理。</w:t>
      </w:r>
      <w:r>
        <w:rPr>
          <w:rFonts w:hint="eastAsia" w:ascii="Times New Roman" w:hAnsi="Times New Roman" w:cs="Times New Roman"/>
          <w:lang w:val="en-US" w:eastAsia="zh-CN"/>
        </w:rPr>
        <w:t>“</w:t>
      </w:r>
      <w:r>
        <w:rPr>
          <w:rFonts w:hint="default" w:ascii="Times New Roman" w:hAnsi="Times New Roman" w:cs="Times New Roman"/>
          <w:lang w:val="en-US" w:eastAsia="zh-CN"/>
        </w:rPr>
        <w:t>十五五</w:t>
      </w:r>
      <w:r>
        <w:rPr>
          <w:rFonts w:hint="eastAsia" w:ascii="Times New Roman" w:hAnsi="Times New Roman" w:cs="Times New Roman"/>
          <w:lang w:val="en-US" w:eastAsia="zh-CN"/>
        </w:rPr>
        <w:t>”</w:t>
      </w:r>
      <w:r>
        <w:rPr>
          <w:rFonts w:hint="default" w:ascii="Times New Roman" w:hAnsi="Times New Roman" w:cs="Times New Roman"/>
          <w:lang w:val="en-US" w:eastAsia="zh-CN"/>
        </w:rPr>
        <w:t>时期，完成5万亩高标准农田改造提升。</w:t>
      </w:r>
    </w:p>
    <w:p w14:paraId="1E0ADDB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强化现代农业科技支撑。</w:t>
      </w:r>
      <w:r>
        <w:rPr>
          <w:rFonts w:hint="default" w:ascii="Times New Roman" w:hAnsi="Times New Roman" w:cs="Times New Roman"/>
          <w:lang w:val="en-US" w:eastAsia="zh-CN"/>
        </w:rPr>
        <w:t>推进主要农作物生产全程机械化示范，加大新机具、新技术示范推广。推动农业生产、林果经济、农副产品加工等领域设备的智能化改造，推动设施农业转型升级和高质量发展。集成推广大田物联网测控、遥感监测、智能化精准作业、基于北斗系统的农机物联网等技术，推动农业智能化生产和农机设施智能化改造，推动建设智慧农业。加强良</w:t>
      </w:r>
      <w:r>
        <w:rPr>
          <w:rFonts w:hint="default" w:ascii="Times New Roman" w:hAnsi="Times New Roman" w:cs="Times New Roman"/>
        </w:rPr>
        <w:t>种示范推广，健全畜禽良种繁育体系。健全动物防疫和病虫害防治体系，强化农作物重大病虫害应急防控，加强重大动物疫病防控。</w:t>
      </w:r>
    </w:p>
    <w:p w14:paraId="03B96E91">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eastAsia="黑体" w:cs="Times New Roman"/>
          <w:lang w:val="en-US" w:eastAsia="zh-CN"/>
        </w:rPr>
      </w:pPr>
      <w:bookmarkStart w:id="211" w:name="_Toc14932"/>
      <w:r>
        <w:rPr>
          <w:rFonts w:hint="default" w:ascii="Times New Roman" w:hAnsi="Times New Roman" w:eastAsia="黑体" w:cs="Times New Roman"/>
          <w:lang w:val="en-US" w:eastAsia="zh-CN"/>
        </w:rPr>
        <w:t>二、建设宜居宜业和美乡村</w:t>
      </w:r>
      <w:bookmarkEnd w:id="211"/>
    </w:p>
    <w:p w14:paraId="51A14A0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rtl w:val="0"/>
          <w:lang w:val="en-US" w:eastAsia="zh-CN"/>
        </w:rPr>
      </w:pPr>
      <w:r>
        <w:rPr>
          <w:rFonts w:hint="default" w:ascii="Times New Roman" w:hAnsi="Times New Roman" w:eastAsia="楷体_GB2312" w:cs="Times New Roman"/>
          <w:rtl w:val="0"/>
          <w:lang w:val="en-US" w:eastAsia="zh-CN"/>
        </w:rPr>
        <w:t>创建</w:t>
      </w:r>
      <w:r>
        <w:rPr>
          <w:rFonts w:hint="eastAsia" w:ascii="Times New Roman" w:hAnsi="Times New Roman" w:eastAsia="楷体_GB2312" w:cs="Times New Roman"/>
          <w:rtl w:val="0"/>
          <w:lang w:val="en-US" w:eastAsia="zh-CN"/>
        </w:rPr>
        <w:t>“</w:t>
      </w:r>
      <w:r>
        <w:rPr>
          <w:rFonts w:hint="default" w:ascii="Times New Roman" w:hAnsi="Times New Roman" w:eastAsia="楷体_GB2312" w:cs="Times New Roman"/>
          <w:rtl w:val="0"/>
          <w:lang w:val="en-US" w:eastAsia="zh-CN"/>
        </w:rPr>
        <w:t>千万工程</w:t>
      </w:r>
      <w:r>
        <w:rPr>
          <w:rFonts w:hint="eastAsia" w:ascii="Times New Roman" w:hAnsi="Times New Roman" w:eastAsia="楷体_GB2312" w:cs="Times New Roman"/>
          <w:rtl w:val="0"/>
          <w:lang w:val="en-US" w:eastAsia="zh-CN"/>
        </w:rPr>
        <w:t>”</w:t>
      </w:r>
      <w:r>
        <w:rPr>
          <w:rFonts w:hint="default" w:ascii="Times New Roman" w:hAnsi="Times New Roman" w:eastAsia="楷体_GB2312" w:cs="Times New Roman"/>
          <w:rtl w:val="0"/>
          <w:lang w:val="en-US" w:eastAsia="zh-CN"/>
        </w:rPr>
        <w:t>示范村。</w:t>
      </w:r>
      <w:r>
        <w:rPr>
          <w:rFonts w:hint="default" w:ascii="Times New Roman" w:hAnsi="Times New Roman" w:cs="Times New Roman"/>
          <w:lang w:val="en-US" w:eastAsia="zh-CN"/>
        </w:rPr>
        <w:t>学习借鉴</w:t>
      </w:r>
      <w:r>
        <w:rPr>
          <w:rFonts w:hint="eastAsia" w:ascii="Times New Roman" w:hAnsi="Times New Roman" w:cs="Times New Roman"/>
          <w:lang w:val="en-US" w:eastAsia="zh-CN"/>
        </w:rPr>
        <w:t>“</w:t>
      </w:r>
      <w:r>
        <w:rPr>
          <w:rFonts w:hint="default" w:ascii="Times New Roman" w:hAnsi="Times New Roman" w:cs="Times New Roman"/>
          <w:lang w:val="en-US" w:eastAsia="zh-CN"/>
        </w:rPr>
        <w:t>千万工程</w:t>
      </w:r>
      <w:r>
        <w:rPr>
          <w:rFonts w:hint="eastAsia" w:ascii="Times New Roman" w:hAnsi="Times New Roman" w:cs="Times New Roman"/>
          <w:lang w:val="en-US" w:eastAsia="zh-CN"/>
        </w:rPr>
        <w:t>”</w:t>
      </w:r>
      <w:r>
        <w:rPr>
          <w:rFonts w:hint="default" w:ascii="Times New Roman" w:hAnsi="Times New Roman" w:cs="Times New Roman"/>
          <w:lang w:val="en-US" w:eastAsia="zh-CN"/>
        </w:rPr>
        <w:t>经验，充分发动群众用勤劳双手把家园建设得更加美丽。</w:t>
      </w:r>
      <w:r>
        <w:rPr>
          <w:rFonts w:hint="default" w:ascii="Times New Roman" w:hAnsi="Times New Roman" w:cs="Times New Roman"/>
          <w:rtl w:val="0"/>
          <w:lang w:val="en-US" w:eastAsia="zh-CN"/>
        </w:rPr>
        <w:t>紧盯乡村产业发展、乡村建设、乡村治理等重点，聚焦人居环境、产业发展、公共服务等切口，</w:t>
      </w:r>
      <w:r>
        <w:rPr>
          <w:rFonts w:hint="default" w:ascii="Times New Roman" w:hAnsi="Times New Roman" w:cs="Times New Roman"/>
          <w:lang w:val="en-US" w:eastAsia="zh-CN"/>
        </w:rPr>
        <w:t>巩固、新建一批</w:t>
      </w:r>
      <w:r>
        <w:rPr>
          <w:rFonts w:hint="eastAsia" w:ascii="Times New Roman" w:hAnsi="Times New Roman" w:cs="Times New Roman"/>
          <w:lang w:val="en-US" w:eastAsia="zh-CN"/>
        </w:rPr>
        <w:t>“</w:t>
      </w:r>
      <w:r>
        <w:rPr>
          <w:rFonts w:hint="default" w:ascii="Times New Roman" w:hAnsi="Times New Roman" w:cs="Times New Roman"/>
          <w:lang w:val="en-US" w:eastAsia="zh-CN"/>
        </w:rPr>
        <w:t>千万工程</w:t>
      </w:r>
      <w:r>
        <w:rPr>
          <w:rFonts w:hint="eastAsia" w:ascii="Times New Roman" w:hAnsi="Times New Roman" w:cs="Times New Roman"/>
          <w:lang w:val="en-US" w:eastAsia="zh-CN"/>
        </w:rPr>
        <w:t>”</w:t>
      </w:r>
      <w:r>
        <w:rPr>
          <w:rFonts w:hint="default" w:ascii="Times New Roman" w:hAnsi="Times New Roman" w:cs="Times New Roman"/>
          <w:lang w:val="en-US" w:eastAsia="zh-CN"/>
        </w:rPr>
        <w:t>省级示范村，示范带动全域提升。</w:t>
      </w:r>
      <w:r>
        <w:rPr>
          <w:rFonts w:hint="default" w:ascii="Times New Roman" w:hAnsi="Times New Roman" w:cs="Times New Roman"/>
          <w:rtl w:val="0"/>
          <w:lang w:val="en-US" w:eastAsia="zh-CN"/>
        </w:rPr>
        <w:t>到2030年，创建达标省级</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千万工程</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示范村30个以上、市级</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千万工程</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重点村50个以上。</w:t>
      </w:r>
    </w:p>
    <w:p w14:paraId="1F06907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rPr>
      </w:pPr>
      <w:r>
        <w:rPr>
          <w:rFonts w:hint="default" w:ascii="Times New Roman" w:hAnsi="Times New Roman" w:eastAsia="楷体_GB2312" w:cs="Times New Roman"/>
          <w:rtl w:val="0"/>
          <w:lang w:val="en-US" w:eastAsia="zh-CN"/>
        </w:rPr>
        <w:t>整治提升农村人居环境。</w:t>
      </w:r>
      <w:r>
        <w:rPr>
          <w:rFonts w:hint="default" w:ascii="Times New Roman" w:hAnsi="Times New Roman" w:cs="Times New Roman"/>
          <w:lang w:val="en-US" w:eastAsia="zh-CN"/>
        </w:rPr>
        <w:t>巩固人居环境整治成效，推进农村污水和垃圾治理、厕所革命、村容村貌提升。推动城镇污水管网向周边村庄延伸覆盖。推动生态清洁小流域建设，以房前屋后、河塘沟渠为重点实施清淤疏浚，采取综合措施修复水生态，巩固农村黑臭水体整治成效，保持</w:t>
      </w:r>
      <w:r>
        <w:rPr>
          <w:rFonts w:hint="eastAsia" w:ascii="Times New Roman" w:hAnsi="Times New Roman" w:cs="Times New Roman"/>
          <w:lang w:val="en-US" w:eastAsia="zh-CN"/>
        </w:rPr>
        <w:t>“</w:t>
      </w:r>
      <w:r>
        <w:rPr>
          <w:rFonts w:hint="default" w:ascii="Times New Roman" w:hAnsi="Times New Roman" w:cs="Times New Roman"/>
          <w:lang w:val="en-US" w:eastAsia="zh-CN"/>
        </w:rPr>
        <w:t>动态清零</w:t>
      </w:r>
      <w:r>
        <w:rPr>
          <w:rFonts w:hint="eastAsia" w:ascii="Times New Roman" w:hAnsi="Times New Roman" w:cs="Times New Roman"/>
          <w:lang w:val="en-US" w:eastAsia="zh-CN"/>
        </w:rPr>
        <w:t>”</w:t>
      </w:r>
      <w:r>
        <w:rPr>
          <w:rFonts w:hint="default" w:ascii="Times New Roman" w:hAnsi="Times New Roman" w:cs="Times New Roman"/>
          <w:lang w:val="en-US" w:eastAsia="zh-CN"/>
        </w:rPr>
        <w:t>。</w:t>
      </w:r>
      <w:r>
        <w:rPr>
          <w:rFonts w:hint="default" w:ascii="Times New Roman" w:hAnsi="Times New Roman" w:cs="Times New Roman"/>
        </w:rPr>
        <w:t>到20</w:t>
      </w:r>
      <w:r>
        <w:rPr>
          <w:rFonts w:hint="default" w:ascii="Times New Roman" w:hAnsi="Times New Roman" w:cs="Times New Roman"/>
          <w:lang w:val="en-US" w:eastAsia="zh-CN"/>
        </w:rPr>
        <w:t>30</w:t>
      </w:r>
      <w:r>
        <w:rPr>
          <w:rFonts w:hint="default" w:ascii="Times New Roman" w:hAnsi="Times New Roman" w:cs="Times New Roman"/>
        </w:rPr>
        <w:t>年，实现农村生活垃圾集中处理率100%，卫生厕所普及率超过9</w:t>
      </w:r>
      <w:r>
        <w:rPr>
          <w:rFonts w:hint="default" w:ascii="Times New Roman" w:hAnsi="Times New Roman" w:cs="Times New Roman"/>
          <w:lang w:val="en-US" w:eastAsia="zh-CN"/>
        </w:rPr>
        <w:t>8</w:t>
      </w:r>
      <w:r>
        <w:rPr>
          <w:rFonts w:hint="default" w:ascii="Times New Roman" w:hAnsi="Times New Roman" w:cs="Times New Roman"/>
        </w:rPr>
        <w:t>%。</w:t>
      </w:r>
    </w:p>
    <w:p w14:paraId="06DFBFD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rtl w:val="0"/>
          <w:lang w:val="en-US" w:eastAsia="zh-CN"/>
        </w:rPr>
        <w:t>提档升级乡村基础设施。</w:t>
      </w:r>
      <w:r>
        <w:rPr>
          <w:rFonts w:hint="default" w:ascii="Times New Roman" w:hAnsi="Times New Roman" w:cs="Times New Roman"/>
          <w:rtl w:val="0"/>
          <w:lang w:val="en-US" w:eastAsia="zh-CN"/>
        </w:rPr>
        <w:t>加快补齐农村现代化生活条件，创造乡村优质生活空间。推进农村规模化供水工程，切实保障农村群众饮水安全和水质提升。</w:t>
      </w:r>
      <w:r>
        <w:rPr>
          <w:rFonts w:hint="default" w:ascii="Times New Roman" w:hAnsi="Times New Roman" w:cs="Times New Roman"/>
          <w:lang w:val="en-US" w:eastAsia="zh-CN"/>
        </w:rPr>
        <w:t>推进</w:t>
      </w:r>
      <w:r>
        <w:rPr>
          <w:rFonts w:hint="eastAsia" w:ascii="Times New Roman" w:hAnsi="Times New Roman" w:cs="Times New Roman"/>
          <w:lang w:val="en-US" w:eastAsia="zh-CN"/>
        </w:rPr>
        <w:t>“</w:t>
      </w:r>
      <w:r>
        <w:rPr>
          <w:rFonts w:hint="default" w:ascii="Times New Roman" w:hAnsi="Times New Roman" w:cs="Times New Roman"/>
          <w:lang w:val="en-US" w:eastAsia="zh-CN"/>
        </w:rPr>
        <w:t>四好农村路</w:t>
      </w:r>
      <w:r>
        <w:rPr>
          <w:rFonts w:hint="eastAsia" w:ascii="Times New Roman" w:hAnsi="Times New Roman" w:cs="Times New Roman"/>
          <w:lang w:val="en-US" w:eastAsia="zh-CN"/>
        </w:rPr>
        <w:t>”</w:t>
      </w:r>
      <w:r>
        <w:rPr>
          <w:rFonts w:hint="default" w:ascii="Times New Roman" w:hAnsi="Times New Roman" w:cs="Times New Roman"/>
          <w:lang w:val="en-US" w:eastAsia="zh-CN"/>
        </w:rPr>
        <w:t>建设，建设县乡公路、资源产业旅游路、联网路、通村公路、通组公路，加强农村公路安防工程、养护工程、桥梁工程等建设，提高生产生活便捷度。推进农村安全饮水工程提质增效。实施新一轮电网改造升级和自然村通动力电工程。推动供气设施向农村延伸，推进</w:t>
      </w:r>
      <w:r>
        <w:rPr>
          <w:rFonts w:hint="eastAsia" w:ascii="Times New Roman" w:hAnsi="Times New Roman" w:cs="Times New Roman"/>
          <w:lang w:val="en-US" w:eastAsia="zh-CN"/>
        </w:rPr>
        <w:t>“</w:t>
      </w:r>
      <w:r>
        <w:rPr>
          <w:rFonts w:hint="default" w:ascii="Times New Roman" w:hAnsi="Times New Roman" w:cs="Times New Roman"/>
          <w:lang w:val="en-US" w:eastAsia="zh-CN"/>
        </w:rPr>
        <w:t>煤改气</w:t>
      </w:r>
      <w:r>
        <w:rPr>
          <w:rFonts w:hint="eastAsia" w:ascii="Times New Roman" w:hAnsi="Times New Roman" w:cs="Times New Roman"/>
          <w:lang w:val="en-US" w:eastAsia="zh-CN"/>
        </w:rPr>
        <w:t>”</w:t>
      </w:r>
      <w:r>
        <w:rPr>
          <w:rFonts w:hint="default" w:ascii="Times New Roman" w:hAnsi="Times New Roman" w:cs="Times New Roman"/>
          <w:lang w:val="en-US" w:eastAsia="zh-CN"/>
        </w:rPr>
        <w:t>。夯实乡村数字建设基础，有序推动5G网络布局。</w:t>
      </w:r>
    </w:p>
    <w:p w14:paraId="3932CD34">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rtl w:val="0"/>
          <w:lang w:val="en-US" w:eastAsia="zh-CN"/>
        </w:rPr>
      </w:pPr>
      <w:r>
        <w:rPr>
          <w:rFonts w:hint="default" w:ascii="Times New Roman" w:hAnsi="Times New Roman" w:eastAsia="楷体_GB2312" w:cs="Times New Roman"/>
          <w:rtl w:val="0"/>
          <w:lang w:val="en-US" w:eastAsia="zh-CN"/>
        </w:rPr>
        <w:t>优化提升村庄村容村貌。</w:t>
      </w:r>
      <w:r>
        <w:rPr>
          <w:rFonts w:hint="default" w:ascii="Times New Roman" w:hAnsi="Times New Roman" w:cs="Times New Roman"/>
          <w:lang w:val="en-US" w:eastAsia="zh-CN"/>
        </w:rPr>
        <w:t>优化村庄生产生活生态空间，推进有条件有需求的村庄编制</w:t>
      </w:r>
      <w:r>
        <w:rPr>
          <w:rFonts w:hint="eastAsia" w:ascii="Times New Roman" w:hAnsi="Times New Roman" w:cs="Times New Roman"/>
          <w:lang w:val="en-US" w:eastAsia="zh-CN"/>
        </w:rPr>
        <w:t>“</w:t>
      </w:r>
      <w:r>
        <w:rPr>
          <w:rFonts w:hint="default" w:ascii="Times New Roman" w:hAnsi="Times New Roman" w:cs="Times New Roman"/>
          <w:lang w:val="en-US" w:eastAsia="zh-CN"/>
        </w:rPr>
        <w:t>多规合一</w:t>
      </w:r>
      <w:r>
        <w:rPr>
          <w:rFonts w:hint="eastAsia" w:ascii="Times New Roman" w:hAnsi="Times New Roman" w:cs="Times New Roman"/>
          <w:lang w:val="en-US" w:eastAsia="zh-CN"/>
        </w:rPr>
        <w:t>”</w:t>
      </w:r>
      <w:r>
        <w:rPr>
          <w:rFonts w:hint="default" w:ascii="Times New Roman" w:hAnsi="Times New Roman" w:cs="Times New Roman"/>
          <w:lang w:val="en-US" w:eastAsia="zh-CN"/>
        </w:rPr>
        <w:t>实用性通则式村庄规划。因地制宜、分类推进村庄布局优化，建设</w:t>
      </w:r>
      <w:r>
        <w:rPr>
          <w:rFonts w:hint="eastAsia" w:ascii="Times New Roman" w:hAnsi="Times New Roman" w:cs="Times New Roman"/>
          <w:lang w:val="en-US" w:eastAsia="zh-CN"/>
        </w:rPr>
        <w:t>“</w:t>
      </w:r>
      <w:r>
        <w:rPr>
          <w:rFonts w:hint="default" w:ascii="Times New Roman" w:hAnsi="Times New Roman" w:cs="Times New Roman"/>
          <w:lang w:val="en-US" w:eastAsia="zh-CN"/>
        </w:rPr>
        <w:t>集聚提升类、城郊融合类</w:t>
      </w:r>
      <w:r>
        <w:rPr>
          <w:rFonts w:hint="eastAsia" w:ascii="Times New Roman" w:hAnsi="Times New Roman" w:cs="Times New Roman"/>
          <w:lang w:val="en-US" w:eastAsia="zh-CN"/>
        </w:rPr>
        <w:t>”</w:t>
      </w:r>
      <w:r>
        <w:rPr>
          <w:rFonts w:hint="default" w:ascii="Times New Roman" w:hAnsi="Times New Roman" w:cs="Times New Roman"/>
          <w:lang w:val="en-US" w:eastAsia="zh-CN"/>
        </w:rPr>
        <w:t>村庄，培育</w:t>
      </w:r>
      <w:r>
        <w:rPr>
          <w:rFonts w:hint="eastAsia" w:ascii="Times New Roman" w:hAnsi="Times New Roman" w:cs="Times New Roman"/>
          <w:lang w:val="en-US" w:eastAsia="zh-CN"/>
        </w:rPr>
        <w:t>“</w:t>
      </w:r>
      <w:r>
        <w:rPr>
          <w:rFonts w:hint="default" w:ascii="Times New Roman" w:hAnsi="Times New Roman" w:cs="Times New Roman"/>
          <w:lang w:val="en-US" w:eastAsia="zh-CN"/>
        </w:rPr>
        <w:t>特色保护类</w:t>
      </w:r>
      <w:r>
        <w:rPr>
          <w:rFonts w:hint="eastAsia" w:ascii="Times New Roman" w:hAnsi="Times New Roman" w:cs="Times New Roman"/>
          <w:lang w:val="en-US" w:eastAsia="zh-CN"/>
        </w:rPr>
        <w:t>”</w:t>
      </w:r>
      <w:r>
        <w:rPr>
          <w:rFonts w:hint="default" w:ascii="Times New Roman" w:hAnsi="Times New Roman" w:cs="Times New Roman"/>
          <w:lang w:val="en-US" w:eastAsia="zh-CN"/>
        </w:rPr>
        <w:t>村庄，调整</w:t>
      </w:r>
      <w:r>
        <w:rPr>
          <w:rFonts w:hint="eastAsia" w:ascii="Times New Roman" w:hAnsi="Times New Roman" w:cs="Times New Roman"/>
          <w:lang w:val="en-US" w:eastAsia="zh-CN"/>
        </w:rPr>
        <w:t>“</w:t>
      </w:r>
      <w:r>
        <w:rPr>
          <w:rFonts w:hint="default" w:ascii="Times New Roman" w:hAnsi="Times New Roman" w:cs="Times New Roman"/>
          <w:lang w:val="en-US" w:eastAsia="zh-CN"/>
        </w:rPr>
        <w:t>搬迁撤并类</w:t>
      </w:r>
      <w:r>
        <w:rPr>
          <w:rFonts w:hint="eastAsia" w:ascii="Times New Roman" w:hAnsi="Times New Roman" w:cs="Times New Roman"/>
          <w:lang w:val="en-US" w:eastAsia="zh-CN"/>
        </w:rPr>
        <w:t>”</w:t>
      </w:r>
      <w:r>
        <w:rPr>
          <w:rFonts w:hint="default" w:ascii="Times New Roman" w:hAnsi="Times New Roman" w:cs="Times New Roman"/>
          <w:lang w:val="en-US" w:eastAsia="zh-CN"/>
        </w:rPr>
        <w:t>村庄。</w:t>
      </w:r>
      <w:r>
        <w:rPr>
          <w:rFonts w:hint="default" w:ascii="Times New Roman" w:hAnsi="Times New Roman" w:cs="Times New Roman"/>
        </w:rPr>
        <w:t>强化村庄规划和风貌管控，全面推进乡村绿化，引导农村巷道植绿、庭院增绿、道路护绿，建设具有乡村特色的绿化景观。鼓励农户在房前屋后、田间道旁种植时令杂果，发展庭院经济。</w:t>
      </w:r>
    </w:p>
    <w:p w14:paraId="7CD01BF1">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rtl w:val="0"/>
          <w:lang w:val="en-US" w:eastAsia="zh-CN"/>
        </w:rPr>
      </w:pPr>
      <w:r>
        <w:rPr>
          <w:rFonts w:hint="default" w:ascii="Times New Roman" w:hAnsi="Times New Roman" w:eastAsia="楷体_GB2312" w:cs="Times New Roman"/>
          <w:rtl w:val="0"/>
          <w:lang w:val="en-US" w:eastAsia="zh-CN"/>
        </w:rPr>
        <w:t>实施文明乡风建设工程。</w:t>
      </w:r>
      <w:r>
        <w:rPr>
          <w:rFonts w:hint="default" w:ascii="Times New Roman" w:hAnsi="Times New Roman" w:cs="Times New Roman"/>
          <w:lang w:val="en-US" w:eastAsia="zh-CN"/>
        </w:rPr>
        <w:t>加强农村思想政治工作，广泛开展群众性宣传教育活动。统筹推动文明培育、文明实践、文明创建，推动形成向上向善的乡村道德风尚。丰富农村文化产品和服务供给。</w:t>
      </w:r>
      <w:r>
        <w:rPr>
          <w:rFonts w:hint="default" w:ascii="Times New Roman" w:hAnsi="Times New Roman" w:cs="Times New Roman"/>
          <w:rtl w:val="0"/>
          <w:lang w:val="en-US" w:eastAsia="zh-CN"/>
        </w:rPr>
        <w:t>加强传统村落、传统民居和历史文化名村名镇的保护，传承乡村历史文化，保持乡村风貌特色。</w:t>
      </w:r>
      <w:r>
        <w:rPr>
          <w:rFonts w:hint="default" w:ascii="Times New Roman" w:hAnsi="Times New Roman" w:cs="Times New Roman"/>
          <w:lang w:val="en-US" w:eastAsia="zh-CN"/>
        </w:rPr>
        <w:t>推进农村移风易俗，持续整治农村高额彩礼，引导树立正确的婚恋观、生育观、家庭观，培育简约文明的婚俗文化。</w:t>
      </w:r>
    </w:p>
    <w:p w14:paraId="43AEF36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eastAsia="黑体" w:cs="Times New Roman"/>
          <w:lang w:val="en-US" w:eastAsia="zh-CN"/>
        </w:rPr>
      </w:pPr>
      <w:bookmarkStart w:id="212" w:name="_Toc4097"/>
      <w:r>
        <w:rPr>
          <w:rFonts w:hint="default" w:ascii="Times New Roman" w:hAnsi="Times New Roman" w:eastAsia="黑体" w:cs="Times New Roman"/>
          <w:lang w:val="en-US" w:eastAsia="zh-CN"/>
        </w:rPr>
        <w:t>三、推进农业农村综合改革</w:t>
      </w:r>
      <w:bookmarkEnd w:id="212"/>
    </w:p>
    <w:p w14:paraId="1C157654">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rPr>
      </w:pPr>
      <w:r>
        <w:rPr>
          <w:rFonts w:hint="default" w:ascii="Times New Roman" w:hAnsi="Times New Roman" w:eastAsia="楷体_GB2312" w:cs="Times New Roman"/>
          <w:lang w:val="en-US" w:eastAsia="zh-CN"/>
        </w:rPr>
        <w:t>巩固完善农村基本经营制度。</w:t>
      </w:r>
      <w:r>
        <w:rPr>
          <w:rFonts w:hint="default" w:ascii="Times New Roman" w:hAnsi="Times New Roman" w:cs="Times New Roman"/>
          <w:lang w:val="en-US" w:eastAsia="zh-CN"/>
        </w:rPr>
        <w:t>认真落实第二轮土地承包到期后再延长三十年政策，</w:t>
      </w:r>
      <w:r>
        <w:rPr>
          <w:rFonts w:hint="default" w:ascii="Times New Roman" w:hAnsi="Times New Roman" w:cs="Times New Roman"/>
        </w:rPr>
        <w:t>妥善解决延包中的矛盾纠纷，确保绝大多数农户</w:t>
      </w:r>
      <w:r>
        <w:rPr>
          <w:rFonts w:hint="default" w:ascii="Times New Roman" w:hAnsi="Times New Roman" w:cs="Times New Roman"/>
          <w:lang w:val="en-US" w:eastAsia="zh-CN"/>
        </w:rPr>
        <w:t>原有</w:t>
      </w:r>
      <w:r>
        <w:rPr>
          <w:rFonts w:hint="default" w:ascii="Times New Roman" w:hAnsi="Times New Roman" w:cs="Times New Roman"/>
        </w:rPr>
        <w:t>承包地总体顺延、保持稳定</w:t>
      </w:r>
      <w:r>
        <w:rPr>
          <w:rFonts w:hint="default" w:ascii="Times New Roman" w:hAnsi="Times New Roman" w:cs="Times New Roman"/>
          <w:lang w:val="en-US" w:eastAsia="zh-CN"/>
        </w:rPr>
        <w:t>。</w:t>
      </w:r>
      <w:r>
        <w:rPr>
          <w:rFonts w:hint="default" w:ascii="Times New Roman" w:hAnsi="Times New Roman" w:cs="Times New Roman"/>
        </w:rPr>
        <w:t>规范承包地经营权流转</w:t>
      </w:r>
      <w:r>
        <w:rPr>
          <w:rFonts w:hint="default" w:ascii="Times New Roman" w:hAnsi="Times New Roman" w:cs="Times New Roman"/>
          <w:lang w:eastAsia="zh-CN"/>
        </w:rPr>
        <w:t>，</w:t>
      </w:r>
      <w:r>
        <w:rPr>
          <w:rFonts w:hint="default" w:ascii="Times New Roman" w:hAnsi="Times New Roman" w:cs="Times New Roman"/>
        </w:rPr>
        <w:t>鼓励发展多种形式的适度规模经营。</w:t>
      </w:r>
    </w:p>
    <w:p w14:paraId="47B46A39">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规范农村各类资源盘活利用。</w:t>
      </w:r>
      <w:r>
        <w:rPr>
          <w:rFonts w:hint="default" w:ascii="Times New Roman" w:hAnsi="Times New Roman" w:cs="Times New Roman"/>
          <w:lang w:val="en-US" w:eastAsia="zh-CN"/>
        </w:rPr>
        <w:t>完善土地征收制度，</w:t>
      </w:r>
      <w:r>
        <w:rPr>
          <w:rFonts w:hint="default" w:ascii="Times New Roman" w:hAnsi="Times New Roman" w:cs="Times New Roman"/>
          <w:rtl w:val="0"/>
          <w:lang w:val="en-US" w:eastAsia="zh-CN"/>
        </w:rPr>
        <w:t>探索农村集体经营性建设用地入市制度，推动建设城乡统一的建设用地市场。</w:t>
      </w:r>
      <w:r>
        <w:rPr>
          <w:rFonts w:hint="default" w:ascii="Times New Roman" w:hAnsi="Times New Roman" w:cs="Times New Roman"/>
        </w:rPr>
        <w:t>强化农村宅基地和农民建房审批管理，严查严防违法违规购买农房宅基地。</w:t>
      </w:r>
      <w:r>
        <w:rPr>
          <w:rFonts w:hint="default" w:ascii="Times New Roman" w:hAnsi="Times New Roman" w:cs="Times New Roman"/>
          <w:rtl w:val="0"/>
          <w:lang w:val="en-US" w:eastAsia="zh-CN"/>
        </w:rPr>
        <w:t>扎实推进农村房地一体宅基地确权登记颁证工作，</w:t>
      </w:r>
      <w:r>
        <w:rPr>
          <w:rFonts w:hint="default" w:ascii="Times New Roman" w:hAnsi="Times New Roman" w:cs="Times New Roman"/>
        </w:rPr>
        <w:t>允许农户合法拥有的住房通过出租、入股、合作等方式盘活利用</w:t>
      </w:r>
      <w:r>
        <w:rPr>
          <w:rFonts w:hint="default" w:ascii="Times New Roman" w:hAnsi="Times New Roman" w:cs="Times New Roman"/>
          <w:lang w:eastAsia="zh-CN"/>
        </w:rPr>
        <w:t>，</w:t>
      </w:r>
      <w:r>
        <w:rPr>
          <w:rFonts w:hint="default" w:ascii="Times New Roman" w:hAnsi="Times New Roman" w:cs="Times New Roman"/>
          <w:lang w:val="en-US" w:eastAsia="zh-CN"/>
        </w:rPr>
        <w:t>依法保障农民宅基地基本权益。</w:t>
      </w:r>
    </w:p>
    <w:p w14:paraId="701DFDB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rtl w:val="0"/>
          <w:lang w:val="en-US" w:eastAsia="zh-CN"/>
        </w:rPr>
      </w:pPr>
      <w:r>
        <w:rPr>
          <w:rFonts w:hint="default" w:ascii="Times New Roman" w:hAnsi="Times New Roman" w:eastAsia="楷体_GB2312" w:cs="Times New Roman"/>
          <w:lang w:val="en-US" w:eastAsia="zh-CN"/>
        </w:rPr>
        <w:t>深化农村集体产权制度改革。</w:t>
      </w:r>
      <w:r>
        <w:rPr>
          <w:rFonts w:hint="default" w:ascii="Times New Roman" w:hAnsi="Times New Roman" w:cs="Times New Roman"/>
          <w:rtl w:val="0"/>
          <w:lang w:val="en-US" w:eastAsia="zh-CN"/>
        </w:rPr>
        <w:t>深入整治农村集体资金、资产和资源管理，推进镇村产权交易及</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三资</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管理平台运行。依托</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陕农经</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平台，加强农村集体</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三资</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监管，推动集体</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三资</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应管尽管和财务规范核算。鼓励</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村集体+企业+合作社+农户</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多元联建，培育形成一批强村经济联合体。实施农村集体经济</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消薄培强</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行动，不断壮大村集体经济收入。到2030年，村集体经济年收入超20万元的行政村占比30％以上，超50万元的行政村占比15％以上。</w:t>
      </w:r>
    </w:p>
    <w:p w14:paraId="5A45F15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rtl w:val="0"/>
          <w:lang w:val="en-US" w:eastAsia="zh-CN"/>
        </w:rPr>
      </w:pPr>
      <w:r>
        <w:rPr>
          <w:rFonts w:hint="default" w:ascii="Times New Roman" w:hAnsi="Times New Roman" w:eastAsia="楷体_GB2312" w:cs="Times New Roman"/>
          <w:rtl w:val="0"/>
          <w:lang w:val="en-US" w:eastAsia="zh-CN"/>
        </w:rPr>
        <w:t>创新乡村振兴投融资机制。</w:t>
      </w:r>
      <w:r>
        <w:rPr>
          <w:rFonts w:hint="default" w:ascii="Times New Roman" w:hAnsi="Times New Roman" w:cs="Times New Roman"/>
          <w:rtl w:val="0"/>
          <w:lang w:val="en-US" w:eastAsia="zh-CN"/>
        </w:rPr>
        <w:t>建立财政投入持续增长机制。加大对特色农业、基础设施、人居环境、基本公共服务等重点领域和薄弱环节支持力度。积极发展农村普惠金融，健全完善适合农业农村特点的普惠金融服务体系。鼓励保险公司开发特色农产品保险品种，推进农业保险增品扩面。支持社会资本以特许经营、参股控股等方式参与农业农村项目的建设和运营。强化涉农资金项目全过程监管，严肃查处弄虚作假、优亲厚友、</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雁过拔毛</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、挤占挪用等问题。</w:t>
      </w:r>
    </w:p>
    <w:p w14:paraId="4E39C04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eastAsia="黑体" w:cs="Times New Roman"/>
          <w:lang w:val="en-US" w:eastAsia="zh-CN"/>
        </w:rPr>
      </w:pPr>
      <w:bookmarkStart w:id="213" w:name="_Toc23330"/>
      <w:r>
        <w:rPr>
          <w:rFonts w:hint="default" w:ascii="Times New Roman" w:hAnsi="Times New Roman" w:eastAsia="黑体" w:cs="Times New Roman"/>
          <w:lang w:val="en-US" w:eastAsia="zh-CN"/>
        </w:rPr>
        <w:t>四、</w:t>
      </w:r>
      <w:r>
        <w:rPr>
          <w:rFonts w:hint="default" w:ascii="Times New Roman" w:hAnsi="Times New Roman" w:eastAsia="黑体" w:cs="Times New Roman"/>
          <w:rtl w:val="0"/>
          <w:lang w:val="en-US" w:eastAsia="zh-CN"/>
        </w:rPr>
        <w:t>持续</w:t>
      </w:r>
      <w:r>
        <w:rPr>
          <w:rFonts w:hint="default" w:ascii="Times New Roman" w:hAnsi="Times New Roman" w:eastAsia="黑体" w:cs="Times New Roman"/>
          <w:lang w:val="en-US" w:eastAsia="zh-CN"/>
        </w:rPr>
        <w:t>巩固拓展脱贫攻坚成果</w:t>
      </w:r>
      <w:bookmarkEnd w:id="213"/>
    </w:p>
    <w:p w14:paraId="56F2FA8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rtl w:val="0"/>
          <w:lang w:val="en-US" w:eastAsia="zh-CN"/>
        </w:rPr>
      </w:pPr>
      <w:r>
        <w:rPr>
          <w:rFonts w:hint="default" w:ascii="Times New Roman" w:hAnsi="Times New Roman" w:eastAsia="楷体_GB2312" w:cs="Times New Roman"/>
          <w:rtl w:val="0"/>
          <w:lang w:val="en-US" w:eastAsia="zh-CN"/>
        </w:rPr>
        <w:t>健全常态化帮扶政策体系。</w:t>
      </w:r>
      <w:r>
        <w:rPr>
          <w:rFonts w:hint="default" w:ascii="Times New Roman" w:hAnsi="Times New Roman" w:cs="Times New Roman"/>
          <w:rtl w:val="0"/>
          <w:lang w:val="en-US" w:eastAsia="zh-CN"/>
        </w:rPr>
        <w:t>统筹建立常态化防止返贫致贫机制，保持过渡期后帮扶政策总体稳定。落实常态化帮扶责任，加大脱贫不稳定户、边缘易致贫户、特殊困难群体等动态监测，稳步提升</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三保障</w:t>
      </w:r>
      <w:r>
        <w:rPr>
          <w:rFonts w:hint="eastAsia" w:ascii="Times New Roman" w:hAnsi="Times New Roman" w:cs="Times New Roman"/>
          <w:rtl w:val="0"/>
          <w:lang w:val="en-US" w:eastAsia="zh-CN"/>
        </w:rPr>
        <w:t>”</w:t>
      </w:r>
      <w:r>
        <w:rPr>
          <w:rFonts w:hint="default" w:ascii="Times New Roman" w:hAnsi="Times New Roman" w:cs="Times New Roman"/>
          <w:rtl w:val="0"/>
          <w:lang w:val="en-US" w:eastAsia="zh-CN"/>
        </w:rPr>
        <w:t>和饮水安全保障水平，守牢不发生规模性返贫致贫底线。</w:t>
      </w:r>
    </w:p>
    <w:p w14:paraId="6992D55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rtl w:val="0"/>
          <w:lang w:val="en-US" w:eastAsia="zh-CN"/>
        </w:rPr>
      </w:pPr>
      <w:r>
        <w:rPr>
          <w:rFonts w:hint="default" w:ascii="Times New Roman" w:hAnsi="Times New Roman" w:eastAsia="楷体_GB2312" w:cs="Times New Roman"/>
          <w:rtl w:val="0"/>
          <w:lang w:val="en-US" w:eastAsia="zh-CN"/>
        </w:rPr>
        <w:t>提高监测帮扶精准性时效性。</w:t>
      </w:r>
      <w:r>
        <w:rPr>
          <w:rFonts w:hint="default" w:ascii="Times New Roman" w:hAnsi="Times New Roman" w:cs="Times New Roman"/>
          <w:rtl w:val="0"/>
          <w:lang w:val="en-US" w:eastAsia="zh-CN"/>
        </w:rPr>
        <w:t>统筹开展防止返贫致贫对象和农村社会救助对象监测识别，规范收支核算口径，加强数据共享。做好防止返贫致贫对象精准帮扶和动态调整。建立群众主动申请、部门信息比对、基层干部日常走访相结合的易返贫致贫人口发现和核查机制。扎实做好乡村两级常态化监测，健全精准识别和快速响应机制，确保早发现、早干预、早帮扶。综合评估原建档立卡脱贫人口家庭经济状况和自我发展能力，符合退出条件的有序退出帮扶，对离开帮扶政策会出现返贫风险的继续实施帮扶。</w:t>
      </w:r>
    </w:p>
    <w:p w14:paraId="40900F2D">
      <w:pPr>
        <w:keepNext w:val="0"/>
        <w:keepLines w:val="0"/>
        <w:pageBreakBefore w:val="0"/>
        <w:widowControl w:val="0"/>
        <w:kinsoku/>
        <w:wordWrap/>
        <w:overflowPunct/>
        <w:topLinePunct w:val="0"/>
        <w:autoSpaceDE/>
        <w:autoSpaceDN/>
        <w:bidi w:val="0"/>
        <w:adjustRightInd/>
        <w:snapToGrid/>
        <w:ind w:firstLine="608" w:firstLineChars="200"/>
        <w:textAlignment w:val="auto"/>
        <w:rPr>
          <w:rFonts w:hint="default" w:ascii="Times New Roman" w:hAnsi="Times New Roman" w:cs="Times New Roman"/>
          <w:spacing w:val="-6"/>
          <w:sz w:val="32"/>
          <w:lang w:val="en-US" w:eastAsia="zh-CN"/>
        </w:rPr>
      </w:pPr>
      <w:r>
        <w:rPr>
          <w:rFonts w:hint="default" w:ascii="Times New Roman" w:hAnsi="Times New Roman" w:eastAsia="楷体_GB2312" w:cs="Times New Roman"/>
          <w:spacing w:val="-6"/>
          <w:sz w:val="32"/>
          <w:rtl w:val="0"/>
          <w:lang w:val="en-US" w:eastAsia="zh-CN"/>
        </w:rPr>
        <w:t>建立分层分类帮扶制度。</w:t>
      </w:r>
      <w:r>
        <w:rPr>
          <w:rFonts w:hint="default" w:ascii="Times New Roman" w:hAnsi="Times New Roman" w:cs="Times New Roman"/>
          <w:spacing w:val="-6"/>
          <w:sz w:val="32"/>
          <w:lang w:val="en-US" w:eastAsia="zh-CN"/>
        </w:rPr>
        <w:t>推动防止返贫帮扶政策和低收入人口常态化帮扶政策衔接并轨。</w:t>
      </w:r>
      <w:r>
        <w:rPr>
          <w:rFonts w:hint="default" w:ascii="Times New Roman" w:hAnsi="Times New Roman" w:cs="Times New Roman"/>
          <w:spacing w:val="-6"/>
          <w:sz w:val="32"/>
          <w:rtl w:val="0"/>
          <w:lang w:val="en-US" w:eastAsia="zh-CN"/>
        </w:rPr>
        <w:t>加大对有劳动能力农村低收入人口的开发式帮扶力度，</w:t>
      </w:r>
      <w:r>
        <w:rPr>
          <w:rFonts w:hint="default" w:ascii="Times New Roman" w:hAnsi="Times New Roman" w:cs="Times New Roman"/>
          <w:spacing w:val="-6"/>
          <w:sz w:val="32"/>
        </w:rPr>
        <w:t>做好公</w:t>
      </w:r>
      <w:r>
        <w:rPr>
          <w:rFonts w:hint="default" w:ascii="Times New Roman" w:hAnsi="Times New Roman" w:cs="Times New Roman"/>
          <w:spacing w:val="-6"/>
          <w:sz w:val="32"/>
          <w:lang w:eastAsia="zh-CN"/>
        </w:rPr>
        <w:t>益性</w:t>
      </w:r>
      <w:r>
        <w:rPr>
          <w:rFonts w:hint="default" w:ascii="Times New Roman" w:hAnsi="Times New Roman" w:cs="Times New Roman"/>
          <w:spacing w:val="-6"/>
          <w:sz w:val="32"/>
        </w:rPr>
        <w:t>岗位管理，促进低收入群体就地就近就业</w:t>
      </w:r>
      <w:r>
        <w:rPr>
          <w:rFonts w:hint="default" w:ascii="Times New Roman" w:hAnsi="Times New Roman" w:cs="Times New Roman"/>
          <w:spacing w:val="-6"/>
          <w:sz w:val="32"/>
          <w:lang w:eastAsia="zh-CN"/>
        </w:rPr>
        <w:t>。</w:t>
      </w:r>
      <w:r>
        <w:rPr>
          <w:rFonts w:hint="default" w:ascii="Times New Roman" w:hAnsi="Times New Roman" w:cs="Times New Roman"/>
          <w:spacing w:val="-6"/>
          <w:sz w:val="32"/>
        </w:rPr>
        <w:t>完善各类保障性政策，突出基本生活救助和</w:t>
      </w:r>
      <w:r>
        <w:rPr>
          <w:rFonts w:hint="eastAsia" w:ascii="Times New Roman" w:hAnsi="Times New Roman" w:cs="Times New Roman"/>
          <w:spacing w:val="-6"/>
          <w:sz w:val="32"/>
          <w:lang w:eastAsia="zh-CN"/>
        </w:rPr>
        <w:t>“</w:t>
      </w:r>
      <w:r>
        <w:rPr>
          <w:rFonts w:hint="default" w:ascii="Times New Roman" w:hAnsi="Times New Roman" w:cs="Times New Roman"/>
          <w:spacing w:val="-6"/>
          <w:sz w:val="32"/>
        </w:rPr>
        <w:t>救急难</w:t>
      </w:r>
      <w:r>
        <w:rPr>
          <w:rFonts w:hint="eastAsia" w:ascii="Times New Roman" w:hAnsi="Times New Roman" w:cs="Times New Roman"/>
          <w:spacing w:val="-6"/>
          <w:sz w:val="32"/>
          <w:lang w:eastAsia="zh-CN"/>
        </w:rPr>
        <w:t>”</w:t>
      </w:r>
      <w:r>
        <w:rPr>
          <w:rFonts w:hint="default" w:ascii="Times New Roman" w:hAnsi="Times New Roman" w:cs="Times New Roman"/>
          <w:spacing w:val="-6"/>
          <w:sz w:val="32"/>
        </w:rPr>
        <w:t>两个重点，针对</w:t>
      </w:r>
      <w:r>
        <w:rPr>
          <w:rFonts w:hint="eastAsia" w:ascii="Times New Roman" w:hAnsi="Times New Roman" w:cs="Times New Roman"/>
          <w:spacing w:val="-6"/>
          <w:sz w:val="32"/>
          <w:lang w:eastAsia="zh-CN"/>
        </w:rPr>
        <w:t>“</w:t>
      </w:r>
      <w:r>
        <w:rPr>
          <w:rFonts w:hint="default" w:ascii="Times New Roman" w:hAnsi="Times New Roman" w:cs="Times New Roman"/>
          <w:spacing w:val="-6"/>
          <w:sz w:val="32"/>
        </w:rPr>
        <w:t>生活类困难、急难性困难、支出性困难</w:t>
      </w:r>
      <w:r>
        <w:rPr>
          <w:rFonts w:hint="eastAsia" w:ascii="Times New Roman" w:hAnsi="Times New Roman" w:cs="Times New Roman"/>
          <w:spacing w:val="-6"/>
          <w:sz w:val="32"/>
          <w:lang w:eastAsia="zh-CN"/>
        </w:rPr>
        <w:t>”</w:t>
      </w:r>
      <w:r>
        <w:rPr>
          <w:rFonts w:hint="default" w:ascii="Times New Roman" w:hAnsi="Times New Roman" w:cs="Times New Roman"/>
          <w:spacing w:val="-6"/>
          <w:sz w:val="32"/>
        </w:rPr>
        <w:t>家庭，对符合社会救助条件的，按照</w:t>
      </w:r>
      <w:r>
        <w:rPr>
          <w:rFonts w:hint="eastAsia" w:ascii="Times New Roman" w:hAnsi="Times New Roman" w:cs="Times New Roman"/>
          <w:spacing w:val="-6"/>
          <w:sz w:val="32"/>
          <w:lang w:eastAsia="zh-CN"/>
        </w:rPr>
        <w:t>“</w:t>
      </w:r>
      <w:r>
        <w:rPr>
          <w:rFonts w:hint="default" w:ascii="Times New Roman" w:hAnsi="Times New Roman" w:cs="Times New Roman"/>
          <w:spacing w:val="-6"/>
          <w:sz w:val="32"/>
        </w:rPr>
        <w:t>一事一议</w:t>
      </w:r>
      <w:r>
        <w:rPr>
          <w:rFonts w:hint="eastAsia" w:ascii="Times New Roman" w:hAnsi="Times New Roman" w:cs="Times New Roman"/>
          <w:spacing w:val="-6"/>
          <w:sz w:val="32"/>
          <w:lang w:eastAsia="zh-CN"/>
        </w:rPr>
        <w:t>”</w:t>
      </w:r>
      <w:r>
        <w:rPr>
          <w:rFonts w:hint="default" w:ascii="Times New Roman" w:hAnsi="Times New Roman" w:cs="Times New Roman"/>
          <w:spacing w:val="-6"/>
          <w:sz w:val="32"/>
        </w:rPr>
        <w:t>的工作制度进行社会救助；对完全丧失劳动能力或部分劳动能力且无法通过产业就业获得稳定收入的人口，按照有关政策规定及时纳入社会救助保障范畴</w:t>
      </w:r>
      <w:r>
        <w:rPr>
          <w:rFonts w:hint="default" w:ascii="Times New Roman" w:hAnsi="Times New Roman" w:cs="Times New Roman"/>
          <w:spacing w:val="-6"/>
          <w:sz w:val="32"/>
          <w:lang w:val="en-US" w:eastAsia="zh-CN"/>
        </w:rPr>
        <w:t>。</w:t>
      </w:r>
    </w:p>
    <w:tbl>
      <w:tblPr>
        <w:tblStyle w:val="15"/>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0"/>
      </w:tblGrid>
      <w:tr w14:paraId="23DA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460" w:type="dxa"/>
            <w:noWrap w:val="0"/>
            <w:vAlign w:val="center"/>
          </w:tcPr>
          <w:p w14:paraId="60F3DC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专栏6-3  乡村全面振兴重点工程</w:t>
            </w:r>
          </w:p>
        </w:tc>
      </w:tr>
      <w:tr w14:paraId="5593E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0" w:hRule="atLeast"/>
        </w:trPr>
        <w:tc>
          <w:tcPr>
            <w:tcW w:w="8460" w:type="dxa"/>
            <w:noWrap w:val="0"/>
            <w:vAlign w:val="top"/>
          </w:tcPr>
          <w:p w14:paraId="3BE62EFB">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夯实</w:t>
            </w:r>
            <w:r>
              <w:rPr>
                <w:rFonts w:hint="default" w:ascii="Times New Roman" w:hAnsi="Times New Roman" w:eastAsia="仿宋_GB2312" w:cs="Times New Roman"/>
                <w:b/>
                <w:bCs/>
                <w:color w:val="auto"/>
                <w:spacing w:val="0"/>
                <w:kern w:val="2"/>
                <w:sz w:val="24"/>
                <w:szCs w:val="24"/>
                <w:vertAlign w:val="baseline"/>
                <w:lang w:val="en-US" w:eastAsia="zh-CN" w:bidi="ar-SA"/>
              </w:rPr>
              <w:t>农业生产</w:t>
            </w:r>
            <w:r>
              <w:rPr>
                <w:rFonts w:hint="default" w:ascii="Times New Roman" w:hAnsi="Times New Roman" w:cs="Times New Roman"/>
                <w:b/>
                <w:bCs/>
                <w:color w:val="auto"/>
                <w:spacing w:val="0"/>
                <w:kern w:val="2"/>
                <w:sz w:val="24"/>
                <w:szCs w:val="24"/>
                <w:vertAlign w:val="baseline"/>
                <w:lang w:val="en-US" w:eastAsia="zh-CN" w:bidi="ar-SA"/>
              </w:rPr>
              <w:t>能力</w:t>
            </w:r>
            <w:r>
              <w:rPr>
                <w:rFonts w:hint="default" w:ascii="Times New Roman" w:hAnsi="Times New Roman" w:eastAsia="仿宋_GB2312" w:cs="Times New Roman"/>
                <w:b/>
                <w:bCs/>
                <w:color w:val="auto"/>
                <w:spacing w:val="0"/>
                <w:kern w:val="2"/>
                <w:sz w:val="24"/>
                <w:szCs w:val="24"/>
                <w:vertAlign w:val="baseline"/>
                <w:lang w:val="en-US" w:eastAsia="zh-CN" w:bidi="ar-SA"/>
              </w:rPr>
              <w:t>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重点建设汉台区耕地质量提升、汉台区高标准农田改造提升、</w:t>
            </w:r>
            <w:r>
              <w:rPr>
                <w:rFonts w:hint="default" w:ascii="Times New Roman" w:hAnsi="Times New Roman" w:cs="Times New Roman"/>
                <w:b w:val="0"/>
                <w:bCs w:val="0"/>
                <w:color w:val="auto"/>
                <w:spacing w:val="0"/>
                <w:kern w:val="2"/>
                <w:sz w:val="24"/>
                <w:szCs w:val="24"/>
                <w:vertAlign w:val="baseline"/>
                <w:lang w:val="en-US" w:eastAsia="zh-CN" w:bidi="ar-SA"/>
              </w:rPr>
              <w:t>汉台区玉米单产提升工程、陕南农作物种子繁育基地、</w:t>
            </w:r>
            <w:r>
              <w:rPr>
                <w:rFonts w:hint="default" w:ascii="Times New Roman" w:hAnsi="Times New Roman" w:eastAsia="仿宋_GB2312" w:cs="Times New Roman"/>
                <w:b w:val="0"/>
                <w:bCs w:val="0"/>
                <w:color w:val="auto"/>
                <w:spacing w:val="0"/>
                <w:kern w:val="2"/>
                <w:sz w:val="24"/>
                <w:szCs w:val="24"/>
                <w:vertAlign w:val="baseline"/>
                <w:lang w:val="en-US" w:eastAsia="zh-CN" w:bidi="ar-SA"/>
              </w:rPr>
              <w:t>农机设备更新</w:t>
            </w:r>
            <w:r>
              <w:rPr>
                <w:rFonts w:hint="default" w:ascii="Times New Roman" w:hAnsi="Times New Roman" w:cs="Times New Roman"/>
                <w:b w:val="0"/>
                <w:bCs w:val="0"/>
                <w:color w:val="auto"/>
                <w:spacing w:val="0"/>
                <w:kern w:val="2"/>
                <w:sz w:val="24"/>
                <w:szCs w:val="24"/>
                <w:vertAlign w:val="baseline"/>
                <w:lang w:val="en-US" w:eastAsia="zh-CN" w:bidi="ar-SA"/>
              </w:rPr>
              <w:t>等项目。</w:t>
            </w:r>
          </w:p>
          <w:p w14:paraId="1C6AB4C0">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农村人居环境提升工程。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重点建设农村生活污水治理</w:t>
            </w:r>
            <w:r>
              <w:rPr>
                <w:rFonts w:hint="default" w:ascii="Times New Roman" w:hAnsi="Times New Roman" w:cs="Times New Roman"/>
                <w:b w:val="0"/>
                <w:bCs w:val="0"/>
                <w:color w:val="auto"/>
                <w:spacing w:val="0"/>
                <w:kern w:val="2"/>
                <w:sz w:val="24"/>
                <w:szCs w:val="24"/>
                <w:vertAlign w:val="baseline"/>
                <w:lang w:val="en-US" w:eastAsia="zh-CN" w:bidi="ar-SA"/>
              </w:rPr>
              <w:t>、汉王镇片区农村生活污水治理、龙江街道片区农村生活污水治理等项目。</w:t>
            </w:r>
          </w:p>
          <w:p w14:paraId="19FC9664">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宜居宜业和美乡村建设工程。</w:t>
            </w:r>
            <w:r>
              <w:rPr>
                <w:rFonts w:hint="default" w:ascii="Times New Roman" w:hAnsi="Times New Roman" w:cs="Times New Roman"/>
                <w:b w:val="0"/>
                <w:bCs w:val="0"/>
                <w:color w:val="auto"/>
                <w:spacing w:val="0"/>
                <w:kern w:val="2"/>
                <w:sz w:val="24"/>
                <w:szCs w:val="24"/>
                <w:vertAlign w:val="baseline"/>
                <w:lang w:val="en-US" w:eastAsia="zh-CN" w:bidi="ar-SA"/>
              </w:rPr>
              <w:t>重点建设汉台区</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千万工程</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示范村、和美乡村建设、以工代赈示范工程、老君镇乡村振兴示范片区提升、徐望镇村级组织阵地提升改造等项目。</w:t>
            </w:r>
          </w:p>
        </w:tc>
      </w:tr>
    </w:tbl>
    <w:p w14:paraId="4A4CD69A">
      <w:pPr>
        <w:jc w:val="center"/>
        <w:rPr>
          <w:rFonts w:hint="eastAsia" w:ascii="黑体" w:hAnsi="黑体" w:eastAsia="黑体" w:cs="黑体"/>
          <w:lang w:val="en-US" w:eastAsia="zh-CN"/>
        </w:rPr>
      </w:pPr>
      <w:bookmarkStart w:id="214" w:name="_Toc9542"/>
      <w:r>
        <w:rPr>
          <w:rFonts w:hint="eastAsia" w:ascii="黑体" w:hAnsi="黑体" w:eastAsia="黑体" w:cs="黑体"/>
          <w:lang w:val="en-US" w:eastAsia="zh-CN"/>
        </w:rPr>
        <w:t>第四节  深入推进城乡融合发展</w:t>
      </w:r>
      <w:bookmarkEnd w:id="214"/>
    </w:p>
    <w:p w14:paraId="74ADDE5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eastAsia" w:ascii="楷体_GB2312" w:hAnsi="楷体_GB2312" w:eastAsia="楷体_GB2312" w:cs="楷体_GB2312"/>
          <w:b w:val="0"/>
          <w:bCs w:val="0"/>
          <w:lang w:val="en-US" w:eastAsia="zh-CN"/>
        </w:rPr>
        <w:t>促进农业转移人口全面融入城市。</w:t>
      </w:r>
      <w:r>
        <w:rPr>
          <w:rFonts w:hint="default" w:ascii="Times New Roman" w:hAnsi="Times New Roman" w:cs="Times New Roman"/>
          <w:lang w:val="en-US" w:eastAsia="zh-CN"/>
        </w:rPr>
        <w:t>健全以经常居住地登记户口制度，完善</w:t>
      </w:r>
      <w:r>
        <w:rPr>
          <w:rFonts w:hint="eastAsia" w:ascii="Times New Roman" w:hAnsi="Times New Roman" w:cs="Times New Roman"/>
          <w:lang w:val="en-US" w:eastAsia="zh-CN"/>
        </w:rPr>
        <w:t>“</w:t>
      </w:r>
      <w:r>
        <w:rPr>
          <w:rFonts w:hint="default" w:ascii="Times New Roman" w:hAnsi="Times New Roman" w:cs="Times New Roman"/>
          <w:lang w:val="en-US" w:eastAsia="zh-CN"/>
        </w:rPr>
        <w:t>实际工作+实际居住</w:t>
      </w:r>
      <w:r>
        <w:rPr>
          <w:rFonts w:hint="eastAsia" w:ascii="Times New Roman" w:hAnsi="Times New Roman" w:cs="Times New Roman"/>
          <w:lang w:val="en-US" w:eastAsia="zh-CN"/>
        </w:rPr>
        <w:t>”</w:t>
      </w:r>
      <w:r>
        <w:rPr>
          <w:rFonts w:hint="default" w:ascii="Times New Roman" w:hAnsi="Times New Roman" w:cs="Times New Roman"/>
          <w:lang w:val="en-US" w:eastAsia="zh-CN"/>
        </w:rPr>
        <w:t>落户的户口迁移政策。完善以居住证为主要依据的义务教育、就医结算、职业技能培训、保障性住房等制度，拓展居住证持有人享有基本公共服务范围，确保外地与本地农业转移人口进城落户标准统一，稳步实现由常住地供给、覆盖全部常住人口的基本公共服务体系。倡导开放包容的城市文化，营造和谐温暖的社会氛围，强化权益保障和人文关怀，提高农业转移人口的市民身份认同感和归属感。</w:t>
      </w:r>
    </w:p>
    <w:p w14:paraId="12D597B1">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楷体_GB2312" w:hAnsi="楷体_GB2312" w:eastAsia="楷体_GB2312" w:cs="楷体_GB2312"/>
          <w:b w:val="0"/>
          <w:bCs w:val="0"/>
          <w:lang w:val="de-DE" w:eastAsia="de-DE"/>
        </w:rPr>
        <w:t>推动城乡基础设施互联互通</w:t>
      </w:r>
      <w:r>
        <w:rPr>
          <w:rFonts w:hint="default" w:ascii="楷体_GB2312" w:hAnsi="楷体_GB2312" w:eastAsia="楷体_GB2312" w:cs="楷体_GB2312"/>
          <w:b w:val="0"/>
          <w:bCs w:val="0"/>
          <w:lang w:val="de-DE" w:eastAsia="zh-CN"/>
        </w:rPr>
        <w:t>。</w:t>
      </w:r>
      <w:r>
        <w:rPr>
          <w:rFonts w:hint="default" w:ascii="Times New Roman" w:hAnsi="Times New Roman" w:cs="Times New Roman"/>
          <w:lang w:val="de-DE" w:eastAsia="de-DE"/>
        </w:rPr>
        <w:t>统筹规划布局</w:t>
      </w:r>
      <w:r>
        <w:rPr>
          <w:rFonts w:hint="default" w:ascii="Times New Roman" w:hAnsi="Times New Roman" w:cs="Times New Roman"/>
        </w:rPr>
        <w:t>城乡</w:t>
      </w:r>
      <w:r>
        <w:rPr>
          <w:rFonts w:hint="default" w:ascii="Times New Roman" w:hAnsi="Times New Roman" w:cs="Times New Roman"/>
          <w:lang w:val="de-DE" w:eastAsia="de-DE"/>
        </w:rPr>
        <w:t>道路、供水、供电、信息、防洪和垃圾污水处理等</w:t>
      </w:r>
      <w:r>
        <w:rPr>
          <w:rFonts w:hint="default" w:ascii="Times New Roman" w:hAnsi="Times New Roman" w:cs="Times New Roman"/>
        </w:rPr>
        <w:t>基础设施</w:t>
      </w:r>
      <w:r>
        <w:rPr>
          <w:rFonts w:hint="default" w:ascii="Times New Roman" w:hAnsi="Times New Roman" w:cs="Times New Roman"/>
          <w:lang w:val="de-DE" w:eastAsia="de-DE"/>
        </w:rPr>
        <w:t>，推动重要市政公用设施向乡村延伸，推动城乡道路客运一体化，健全分级分类投入机制，实现城乡基础设施统一规划、统一建设、统一管护。</w:t>
      </w:r>
      <w:r>
        <w:rPr>
          <w:rFonts w:hint="default" w:ascii="Times New Roman" w:hAnsi="Times New Roman" w:cs="Times New Roman"/>
          <w:lang w:val="en-US" w:eastAsia="zh-CN"/>
        </w:rPr>
        <w:t>建设联结城乡的冷链物流、电商平台、农贸市场，带动农产品进城和工业品入乡。</w:t>
      </w:r>
    </w:p>
    <w:p w14:paraId="465DDF9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de-DE" w:eastAsia="de-DE"/>
        </w:rPr>
      </w:pPr>
      <w:r>
        <w:rPr>
          <w:rFonts w:hint="default" w:ascii="楷体_GB2312" w:hAnsi="楷体_GB2312" w:eastAsia="楷体_GB2312" w:cs="楷体_GB2312"/>
          <w:b w:val="0"/>
          <w:bCs w:val="0"/>
          <w:lang w:val="de-DE" w:eastAsia="de-DE"/>
        </w:rPr>
        <w:t>推动城乡公共服务普惠共享。</w:t>
      </w:r>
      <w:r>
        <w:rPr>
          <w:rFonts w:hint="default" w:ascii="Times New Roman" w:hAnsi="Times New Roman" w:cs="Times New Roman"/>
          <w:lang w:val="de-DE" w:eastAsia="de-DE"/>
        </w:rPr>
        <w:t>推动公共服务向农村延伸、社会事业向农村覆盖，推进城乡基本公共服务标准统一、制度并轨。建立城乡教育资源均衡配置机制，统筹城乡公共文化设施布局、服务提供、队伍建设，统筹城乡社会救助体系，健全全民覆盖、普惠共享、城乡一体的基本公共服务体系。</w:t>
      </w:r>
    </w:p>
    <w:p w14:paraId="1FECF0B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de-DE" w:eastAsia="de-DE"/>
        </w:rPr>
      </w:pPr>
      <w:r>
        <w:rPr>
          <w:rFonts w:hint="default" w:ascii="楷体_GB2312" w:hAnsi="楷体_GB2312" w:eastAsia="楷体_GB2312" w:cs="楷体_GB2312"/>
          <w:b w:val="0"/>
          <w:bCs w:val="0"/>
          <w:lang w:val="en-US" w:eastAsia="zh-CN"/>
        </w:rPr>
        <w:t>促进城乡要素双向自由流动。</w:t>
      </w:r>
      <w:r>
        <w:rPr>
          <w:rFonts w:hint="default" w:ascii="Times New Roman" w:hAnsi="Times New Roman" w:cs="Times New Roman"/>
          <w:lang w:val="de-DE" w:eastAsia="de-DE"/>
        </w:rPr>
        <w:t>破除妨碍城乡要素自由流动和平等交换的体制机制壁垒，推动城乡要素跨界配置和产业有机融合。</w:t>
      </w:r>
      <w:r>
        <w:rPr>
          <w:rFonts w:hint="default" w:ascii="Times New Roman" w:hAnsi="Times New Roman" w:cs="Times New Roman"/>
          <w:lang w:val="en-US" w:eastAsia="zh-CN"/>
        </w:rPr>
        <w:t>依法维护进城落户农民的土地承包权、宅基地使用权、集体收益分配权，探索建立自愿有偿退出的办法，拓展城镇化发展空间。</w:t>
      </w:r>
      <w:r>
        <w:rPr>
          <w:rFonts w:hint="default" w:ascii="Times New Roman" w:hAnsi="Times New Roman" w:cs="Times New Roman"/>
          <w:lang w:val="de-DE" w:eastAsia="de-DE"/>
        </w:rPr>
        <w:t>畅通城市资源和公共服务下乡渠道</w:t>
      </w:r>
      <w:r>
        <w:rPr>
          <w:rFonts w:hint="default" w:ascii="Times New Roman" w:hAnsi="Times New Roman" w:cs="Times New Roman"/>
          <w:lang w:val="en-US" w:eastAsia="zh-CN"/>
        </w:rPr>
        <w:t>制定财政、金融、社会保障、住房等激励政策，吸引各类人才返乡入乡创业兴业</w:t>
      </w:r>
      <w:r>
        <w:rPr>
          <w:rFonts w:hint="default" w:ascii="Times New Roman" w:hAnsi="Times New Roman" w:cs="Times New Roman"/>
          <w:lang w:val="de-DE" w:eastAsia="de-DE"/>
        </w:rPr>
        <w:t>，推动人才、资本、产业、科技等向农村汇集。</w:t>
      </w:r>
    </w:p>
    <w:tbl>
      <w:tblPr>
        <w:tblStyle w:val="15"/>
        <w:tblW w:w="0" w:type="auto"/>
        <w:tblInd w:w="2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5A4F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516" w:type="dxa"/>
            <w:noWrap w:val="0"/>
            <w:vAlign w:val="center"/>
          </w:tcPr>
          <w:p w14:paraId="57AA28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专栏6-4  城乡融合发展工程</w:t>
            </w:r>
          </w:p>
        </w:tc>
      </w:tr>
      <w:tr w14:paraId="6FC5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1" w:hRule="atLeast"/>
        </w:trPr>
        <w:tc>
          <w:tcPr>
            <w:tcW w:w="8516" w:type="dxa"/>
            <w:noWrap w:val="0"/>
            <w:vAlign w:val="top"/>
          </w:tcPr>
          <w:p w14:paraId="4A797CED">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城乡基本公共服务均等化工程。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完善以居住证为主要依据的义务教育、就医结算、职业技能培训、保障性住房等制度，</w:t>
            </w:r>
            <w:r>
              <w:rPr>
                <w:rFonts w:hint="default" w:ascii="Times New Roman" w:hAnsi="Times New Roman" w:eastAsia="仿宋_GB2312" w:cs="Times New Roman"/>
                <w:b w:val="0"/>
                <w:bCs w:val="0"/>
                <w:color w:val="auto"/>
                <w:spacing w:val="0"/>
                <w:kern w:val="2"/>
                <w:sz w:val="24"/>
                <w:szCs w:val="24"/>
                <w:vertAlign w:val="baseline"/>
                <w:lang w:val="de-DE" w:eastAsia="de-DE" w:bidi="ar-SA"/>
              </w:rPr>
              <w:t>建立城乡教育资源均衡配置机制，统筹城乡公共文化设施布局、城乡社会救助体系</w:t>
            </w:r>
            <w:r>
              <w:rPr>
                <w:rFonts w:hint="default" w:ascii="Times New Roman" w:hAnsi="Times New Roman" w:cs="Times New Roman"/>
                <w:b w:val="0"/>
                <w:bCs w:val="0"/>
                <w:color w:val="auto"/>
                <w:spacing w:val="0"/>
                <w:kern w:val="2"/>
                <w:sz w:val="24"/>
                <w:szCs w:val="24"/>
                <w:vertAlign w:val="baseline"/>
                <w:lang w:val="de-DE"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重点建设</w:t>
            </w:r>
            <w:r>
              <w:rPr>
                <w:rFonts w:hint="default" w:ascii="Times New Roman" w:hAnsi="Times New Roman" w:eastAsia="仿宋_GB2312" w:cs="Times New Roman"/>
                <w:b w:val="0"/>
                <w:bCs w:val="0"/>
                <w:color w:val="auto"/>
                <w:spacing w:val="0"/>
                <w:kern w:val="2"/>
                <w:sz w:val="24"/>
                <w:szCs w:val="24"/>
                <w:vertAlign w:val="baseline"/>
                <w:lang w:val="en-US" w:eastAsia="zh-CN" w:bidi="ar-SA"/>
              </w:rPr>
              <w:t>城市公共服务设施综合提升</w:t>
            </w:r>
            <w:r>
              <w:rPr>
                <w:rFonts w:hint="default" w:ascii="Times New Roman" w:hAnsi="Times New Roman" w:cs="Times New Roman"/>
                <w:b w:val="0"/>
                <w:bCs w:val="0"/>
                <w:color w:val="auto"/>
                <w:spacing w:val="0"/>
                <w:kern w:val="2"/>
                <w:sz w:val="24"/>
                <w:szCs w:val="24"/>
                <w:vertAlign w:val="baseline"/>
                <w:lang w:val="en-US" w:eastAsia="zh-CN" w:bidi="ar-SA"/>
              </w:rPr>
              <w:t>、汉台区15分钟生活圈公共服务补短板工程、东大街城市公共服务设施综合提升工程等项目。</w:t>
            </w:r>
          </w:p>
          <w:p w14:paraId="7688C2E1">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城乡基础设施一体化工程。</w:t>
            </w:r>
            <w:r>
              <w:rPr>
                <w:rFonts w:hint="default" w:ascii="Times New Roman" w:hAnsi="Times New Roman" w:cs="Times New Roman"/>
                <w:b w:val="0"/>
                <w:bCs w:val="0"/>
                <w:color w:val="auto"/>
                <w:spacing w:val="0"/>
                <w:kern w:val="2"/>
                <w:sz w:val="24"/>
                <w:szCs w:val="24"/>
                <w:vertAlign w:val="baseline"/>
                <w:lang w:val="en-US" w:eastAsia="zh-CN" w:bidi="ar-SA"/>
              </w:rPr>
              <w:t>推进城乡基础设施统一规划、统一建设、统一管护，统筹规划布局城乡道路、供水、供电、信息、防洪、垃圾、污水处理等基础设施。重点建设</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四好农村路</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道路提升</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城市水系联通提升</w:t>
            </w:r>
            <w:r>
              <w:rPr>
                <w:rFonts w:hint="default" w:ascii="Times New Roman" w:hAnsi="Times New Roman" w:cs="Times New Roman"/>
                <w:b w:val="0"/>
                <w:bCs w:val="0"/>
                <w:color w:val="auto"/>
                <w:spacing w:val="0"/>
                <w:kern w:val="2"/>
                <w:sz w:val="24"/>
                <w:szCs w:val="24"/>
                <w:vertAlign w:val="baseline"/>
                <w:lang w:val="en-US" w:eastAsia="zh-CN" w:bidi="ar-SA"/>
              </w:rPr>
              <w:t>、汉台区</w:t>
            </w:r>
            <w:r>
              <w:rPr>
                <w:rFonts w:hint="default" w:ascii="Times New Roman" w:hAnsi="Times New Roman" w:eastAsia="仿宋_GB2312" w:cs="Times New Roman"/>
                <w:b w:val="0"/>
                <w:bCs w:val="0"/>
                <w:color w:val="auto"/>
                <w:spacing w:val="0"/>
                <w:kern w:val="2"/>
                <w:sz w:val="24"/>
                <w:szCs w:val="24"/>
                <w:vertAlign w:val="baseline"/>
                <w:lang w:val="en-US" w:eastAsia="zh-CN" w:bidi="ar-SA"/>
              </w:rPr>
              <w:t>生态清洁小流域治理</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农村供</w:t>
            </w:r>
            <w:r>
              <w:rPr>
                <w:rFonts w:hint="default" w:ascii="Times New Roman" w:hAnsi="Times New Roman" w:cs="Times New Roman"/>
                <w:b w:val="0"/>
                <w:bCs w:val="0"/>
                <w:color w:val="auto"/>
                <w:spacing w:val="0"/>
                <w:kern w:val="2"/>
                <w:sz w:val="24"/>
                <w:szCs w:val="24"/>
                <w:vertAlign w:val="baseline"/>
                <w:lang w:val="en-US" w:eastAsia="zh-CN" w:bidi="ar-SA"/>
              </w:rPr>
              <w:t>水集</w:t>
            </w:r>
            <w:r>
              <w:rPr>
                <w:rFonts w:hint="default" w:ascii="Times New Roman" w:hAnsi="Times New Roman" w:eastAsia="仿宋_GB2312" w:cs="Times New Roman"/>
                <w:b w:val="0"/>
                <w:bCs w:val="0"/>
                <w:color w:val="auto"/>
                <w:spacing w:val="0"/>
                <w:kern w:val="2"/>
                <w:sz w:val="24"/>
                <w:szCs w:val="24"/>
                <w:vertAlign w:val="baseline"/>
                <w:lang w:val="en-US" w:eastAsia="zh-CN" w:bidi="ar-SA"/>
              </w:rPr>
              <w:t>中改造</w:t>
            </w:r>
            <w:r>
              <w:rPr>
                <w:rFonts w:hint="default" w:ascii="Times New Roman" w:hAnsi="Times New Roman" w:cs="Times New Roman"/>
                <w:b w:val="0"/>
                <w:bCs w:val="0"/>
                <w:color w:val="auto"/>
                <w:spacing w:val="0"/>
                <w:kern w:val="2"/>
                <w:sz w:val="24"/>
                <w:szCs w:val="24"/>
                <w:vertAlign w:val="baseline"/>
                <w:lang w:val="en-US" w:eastAsia="zh-CN" w:bidi="ar-SA"/>
              </w:rPr>
              <w:t>、乡镇污水处理厂、</w:t>
            </w:r>
            <w:r>
              <w:rPr>
                <w:rFonts w:hint="default" w:ascii="Times New Roman" w:hAnsi="Times New Roman" w:eastAsia="仿宋_GB2312" w:cs="Times New Roman"/>
                <w:b w:val="0"/>
                <w:bCs w:val="0"/>
                <w:color w:val="auto"/>
                <w:spacing w:val="0"/>
                <w:kern w:val="2"/>
                <w:sz w:val="24"/>
                <w:szCs w:val="24"/>
                <w:vertAlign w:val="baseline"/>
                <w:lang w:val="en-US" w:eastAsia="zh-CN" w:bidi="ar-SA"/>
              </w:rPr>
              <w:t>电力提升改造</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气化汉中</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等项目。</w:t>
            </w:r>
          </w:p>
          <w:p w14:paraId="51E0D793">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城乡民生保障一体化工程。</w:t>
            </w:r>
            <w:r>
              <w:rPr>
                <w:rFonts w:hint="default" w:ascii="Times New Roman" w:hAnsi="Times New Roman" w:cs="Times New Roman"/>
                <w:b w:val="0"/>
                <w:bCs w:val="0"/>
                <w:color w:val="auto"/>
                <w:spacing w:val="0"/>
                <w:kern w:val="2"/>
                <w:sz w:val="24"/>
                <w:szCs w:val="24"/>
                <w:vertAlign w:val="baseline"/>
                <w:lang w:val="en-US" w:eastAsia="zh-CN" w:bidi="ar-SA"/>
              </w:rPr>
              <w:t>完善城乡社会保障体系，建立健全以基本生活救助、专项社会救助、急难社会救助为主体的分层分类救助体系，提升社会福利保障水平。</w:t>
            </w:r>
          </w:p>
        </w:tc>
      </w:tr>
    </w:tbl>
    <w:p w14:paraId="55DF4C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bookmarkStart w:id="215" w:name="_Toc13566"/>
      <w:bookmarkStart w:id="216" w:name="_Toc3709"/>
      <w:bookmarkStart w:id="217" w:name="_Toc31520"/>
    </w:p>
    <w:p w14:paraId="2D191CF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14:paraId="56F4C56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14:paraId="4686E0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14:paraId="6053F93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14:paraId="374FE9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14:paraId="155C7D9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14:paraId="34E86FD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第七章  筑牢生态文明绿色根基，</w:t>
      </w:r>
    </w:p>
    <w:p w14:paraId="4B92A7C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谱写美丽汉台生动画卷</w:t>
      </w:r>
      <w:bookmarkEnd w:id="215"/>
      <w:bookmarkEnd w:id="216"/>
      <w:bookmarkEnd w:id="217"/>
    </w:p>
    <w:p w14:paraId="05947F43">
      <w:pPr>
        <w:keepNext w:val="0"/>
        <w:keepLines w:val="0"/>
        <w:pageBreakBefore w:val="0"/>
        <w:widowControl w:val="0"/>
        <w:kinsoku/>
        <w:wordWrap/>
        <w:overflowPunct/>
        <w:topLinePunct w:val="0"/>
        <w:autoSpaceDE/>
        <w:autoSpaceDN/>
        <w:bidi w:val="0"/>
        <w:adjustRightInd/>
        <w:snapToGrid/>
        <w:spacing w:line="400" w:lineRule="exact"/>
        <w:textAlignment w:val="center"/>
        <w:rPr>
          <w:rFonts w:hint="default" w:ascii="Times New Roman" w:hAnsi="Times New Roman" w:cs="Times New Roman"/>
          <w:lang w:val="en-US" w:eastAsia="zh-CN"/>
        </w:rPr>
      </w:pPr>
    </w:p>
    <w:p w14:paraId="0190966C">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牢固树立和</w:t>
      </w:r>
      <w:r>
        <w:rPr>
          <w:rFonts w:hint="default" w:ascii="Times New Roman" w:hAnsi="Times New Roman" w:cs="Times New Roman"/>
        </w:rPr>
        <w:t>践行绿水青山就是金山银山</w:t>
      </w:r>
      <w:r>
        <w:rPr>
          <w:rFonts w:hint="default" w:ascii="Times New Roman" w:hAnsi="Times New Roman" w:cs="Times New Roman"/>
          <w:lang w:val="en-US" w:eastAsia="zh-CN"/>
        </w:rPr>
        <w:t>的</w:t>
      </w:r>
      <w:r>
        <w:rPr>
          <w:rFonts w:hint="default" w:ascii="Times New Roman" w:hAnsi="Times New Roman" w:cs="Times New Roman"/>
        </w:rPr>
        <w:t>理念，</w:t>
      </w:r>
      <w:r>
        <w:rPr>
          <w:rFonts w:hint="default" w:ascii="Times New Roman" w:hAnsi="Times New Roman" w:cs="Times New Roman"/>
          <w:lang w:val="en-US" w:eastAsia="zh-CN"/>
        </w:rPr>
        <w:t>统筹推进生态屏障建设，</w:t>
      </w:r>
      <w:r>
        <w:rPr>
          <w:rFonts w:hint="default" w:ascii="Times New Roman" w:hAnsi="Times New Roman" w:cs="Times New Roman"/>
        </w:rPr>
        <w:t>协同推进降碳</w:t>
      </w:r>
      <w:r>
        <w:rPr>
          <w:rFonts w:hint="default" w:ascii="Times New Roman" w:hAnsi="Times New Roman" w:cs="Times New Roman"/>
          <w:lang w:eastAsia="zh-CN"/>
        </w:rPr>
        <w:t>、</w:t>
      </w:r>
      <w:r>
        <w:rPr>
          <w:rFonts w:hint="default" w:ascii="Times New Roman" w:hAnsi="Times New Roman" w:cs="Times New Roman"/>
        </w:rPr>
        <w:t>减污</w:t>
      </w:r>
      <w:r>
        <w:rPr>
          <w:rFonts w:hint="default" w:ascii="Times New Roman" w:hAnsi="Times New Roman" w:cs="Times New Roman"/>
          <w:lang w:eastAsia="zh-CN"/>
        </w:rPr>
        <w:t>、</w:t>
      </w:r>
      <w:r>
        <w:rPr>
          <w:rFonts w:hint="default" w:ascii="Times New Roman" w:hAnsi="Times New Roman" w:cs="Times New Roman"/>
        </w:rPr>
        <w:t>扩绿</w:t>
      </w:r>
      <w:r>
        <w:rPr>
          <w:rFonts w:hint="default" w:ascii="Times New Roman" w:hAnsi="Times New Roman" w:cs="Times New Roman"/>
          <w:lang w:eastAsia="zh-CN"/>
        </w:rPr>
        <w:t>、</w:t>
      </w:r>
      <w:r>
        <w:rPr>
          <w:rFonts w:hint="default" w:ascii="Times New Roman" w:hAnsi="Times New Roman" w:cs="Times New Roman"/>
        </w:rPr>
        <w:t>增长</w:t>
      </w:r>
      <w:r>
        <w:rPr>
          <w:rFonts w:hint="default" w:ascii="Times New Roman" w:hAnsi="Times New Roman" w:cs="Times New Roman"/>
          <w:lang w:eastAsia="zh-CN"/>
        </w:rPr>
        <w:t>，</w:t>
      </w:r>
      <w:r>
        <w:rPr>
          <w:rFonts w:hint="default" w:ascii="Times New Roman" w:hAnsi="Times New Roman" w:cs="Times New Roman"/>
          <w:lang w:val="en-US" w:eastAsia="zh-CN"/>
        </w:rPr>
        <w:t>强化生态系统保护，加快形成绿色低碳生产生活方式，争创国家生态文明建设示范区，让绿色发展成为汉台区现代化建设的鲜明底色，增强绿色发展动能，努力建设人与自然和谐共生的生态城市样板。</w:t>
      </w:r>
    </w:p>
    <w:p w14:paraId="75A5A0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lang w:val="en-US" w:eastAsia="zh-CN"/>
        </w:rPr>
      </w:pPr>
      <w:bookmarkStart w:id="218" w:name="_Toc18914"/>
      <w:bookmarkStart w:id="219" w:name="_Toc23991"/>
      <w:bookmarkStart w:id="220" w:name="_Toc11715"/>
      <w:r>
        <w:rPr>
          <w:rFonts w:hint="default" w:ascii="Times New Roman" w:hAnsi="Times New Roman" w:eastAsia="黑体" w:cs="Times New Roman"/>
          <w:lang w:val="en-US" w:eastAsia="zh-CN"/>
        </w:rPr>
        <w:t>第一节  筑牢生态安全屏障</w:t>
      </w:r>
      <w:bookmarkEnd w:id="218"/>
      <w:bookmarkEnd w:id="219"/>
      <w:bookmarkEnd w:id="220"/>
    </w:p>
    <w:p w14:paraId="62789EC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eastAsia="黑体" w:cs="Times New Roman"/>
          <w:lang w:val="en-US" w:eastAsia="zh-CN"/>
        </w:rPr>
      </w:pPr>
      <w:bookmarkStart w:id="221" w:name="_Toc13333"/>
      <w:bookmarkStart w:id="222" w:name="_Toc9675"/>
      <w:r>
        <w:rPr>
          <w:rFonts w:hint="default" w:ascii="Times New Roman" w:hAnsi="Times New Roman" w:eastAsia="黑体" w:cs="Times New Roman"/>
          <w:lang w:val="en-US" w:eastAsia="zh-CN"/>
        </w:rPr>
        <w:t>一、坚决当好秦岭卫士</w:t>
      </w:r>
      <w:bookmarkEnd w:id="221"/>
      <w:bookmarkEnd w:id="222"/>
    </w:p>
    <w:p w14:paraId="26C3F05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健全秦岭生态保护机制。</w:t>
      </w:r>
      <w:r>
        <w:rPr>
          <w:rFonts w:hint="default" w:ascii="Times New Roman" w:hAnsi="Times New Roman" w:cs="Times New Roman"/>
          <w:lang w:val="en-US" w:eastAsia="zh-CN"/>
        </w:rPr>
        <w:t>严格执行《陕西省秦岭生态环境保护条例》</w:t>
      </w:r>
      <w:r>
        <w:rPr>
          <w:rFonts w:hint="default" w:ascii="Times New Roman" w:hAnsi="Times New Roman" w:cs="Times New Roman"/>
          <w:lang w:val="de-DE" w:eastAsia="de-DE"/>
        </w:rPr>
        <w:t>，</w:t>
      </w:r>
      <w:r>
        <w:rPr>
          <w:rFonts w:hint="default" w:ascii="Times New Roman" w:hAnsi="Times New Roman" w:cs="Times New Roman"/>
          <w:lang w:val="en-US" w:eastAsia="zh-CN"/>
        </w:rPr>
        <w:t>常态化开展</w:t>
      </w:r>
      <w:r>
        <w:rPr>
          <w:rFonts w:hint="default" w:ascii="Times New Roman" w:hAnsi="Times New Roman" w:cs="Times New Roman"/>
          <w:lang w:val="de-DE" w:eastAsia="de-DE"/>
        </w:rPr>
        <w:t>秦岭</w:t>
      </w:r>
      <w:r>
        <w:rPr>
          <w:rFonts w:hint="eastAsia" w:ascii="Times New Roman" w:hAnsi="Times New Roman" w:cs="Times New Roman"/>
          <w:lang w:val="de-DE" w:eastAsia="zh-CN"/>
        </w:rPr>
        <w:t>“</w:t>
      </w:r>
      <w:r>
        <w:rPr>
          <w:rFonts w:hint="default" w:ascii="Times New Roman" w:hAnsi="Times New Roman" w:cs="Times New Roman"/>
          <w:lang w:val="de-DE" w:eastAsia="de-DE"/>
        </w:rPr>
        <w:t>五乱</w:t>
      </w:r>
      <w:r>
        <w:rPr>
          <w:rFonts w:hint="eastAsia" w:ascii="Times New Roman" w:hAnsi="Times New Roman" w:cs="Times New Roman"/>
          <w:lang w:val="de-DE" w:eastAsia="zh-CN"/>
        </w:rPr>
        <w:t>”</w:t>
      </w:r>
      <w:r>
        <w:rPr>
          <w:rFonts w:hint="default" w:ascii="Times New Roman" w:hAnsi="Times New Roman" w:cs="Times New Roman"/>
          <w:lang w:val="de-DE" w:eastAsia="de-DE"/>
        </w:rPr>
        <w:t>问题</w:t>
      </w:r>
      <w:r>
        <w:rPr>
          <w:rFonts w:hint="default" w:ascii="Times New Roman" w:hAnsi="Times New Roman" w:cs="Times New Roman"/>
          <w:lang w:val="en-US" w:eastAsia="zh-CN"/>
        </w:rPr>
        <w:t>动态排查整治，坚决</w:t>
      </w:r>
      <w:r>
        <w:rPr>
          <w:rFonts w:hint="default" w:ascii="Times New Roman" w:hAnsi="Times New Roman" w:cs="Times New Roman"/>
          <w:lang w:val="de-DE" w:eastAsia="de-DE"/>
        </w:rPr>
        <w:t>杜绝不合理开发和建设活动对秦岭生态破坏</w:t>
      </w:r>
      <w:r>
        <w:rPr>
          <w:rFonts w:hint="default" w:ascii="Times New Roman" w:hAnsi="Times New Roman" w:cs="Times New Roman"/>
          <w:lang w:val="de-DE" w:eastAsia="zh-CN"/>
        </w:rPr>
        <w:t>，</w:t>
      </w:r>
      <w:r>
        <w:rPr>
          <w:rFonts w:hint="default" w:ascii="Times New Roman" w:hAnsi="Times New Roman" w:cs="Times New Roman"/>
          <w:lang w:val="en-US" w:eastAsia="zh-CN"/>
        </w:rPr>
        <w:t>严格禁止在秦岭核心保护区开展违规穿越等活动。用好秦岭生态环境保护信息化网格化监管平台，构建全方位、立体化、全天候生态保护体系。提升数字秦岭建设水平，综合运用卫星遥感、无人机巡查、智能视频监控、地面传感器等先进技术，构建</w:t>
      </w:r>
      <w:r>
        <w:rPr>
          <w:rFonts w:hint="eastAsia" w:ascii="Times New Roman" w:hAnsi="Times New Roman" w:cs="Times New Roman"/>
          <w:lang w:val="en-US" w:eastAsia="zh-CN"/>
        </w:rPr>
        <w:t>“</w:t>
      </w:r>
      <w:r>
        <w:rPr>
          <w:rFonts w:hint="default" w:ascii="Times New Roman" w:hAnsi="Times New Roman" w:cs="Times New Roman"/>
          <w:lang w:val="en-US" w:eastAsia="zh-CN"/>
        </w:rPr>
        <w:t>空天地网一体化</w:t>
      </w:r>
      <w:r>
        <w:rPr>
          <w:rFonts w:hint="eastAsia" w:ascii="Times New Roman" w:hAnsi="Times New Roman" w:cs="Times New Roman"/>
          <w:lang w:val="en-US" w:eastAsia="zh-CN"/>
        </w:rPr>
        <w:t>”</w:t>
      </w:r>
      <w:r>
        <w:rPr>
          <w:rFonts w:hint="default" w:ascii="Times New Roman" w:hAnsi="Times New Roman" w:cs="Times New Roman"/>
          <w:lang w:val="en-US" w:eastAsia="zh-CN"/>
        </w:rPr>
        <w:t>监测监管体系，实现全域实时监管</w:t>
      </w:r>
      <w:r>
        <w:rPr>
          <w:rFonts w:hint="default" w:ascii="Times New Roman" w:hAnsi="Times New Roman" w:cs="Times New Roman"/>
          <w:lang w:val="de-DE" w:eastAsia="de-DE"/>
        </w:rPr>
        <w:t>。</w:t>
      </w:r>
      <w:r>
        <w:rPr>
          <w:rFonts w:hint="default" w:ascii="Times New Roman" w:hAnsi="Times New Roman" w:cs="Times New Roman"/>
          <w:lang w:val="en-US" w:eastAsia="zh-CN"/>
        </w:rPr>
        <w:t>健全智能预警和协同机制，完善森林防火防治体系，</w:t>
      </w:r>
      <w:r>
        <w:rPr>
          <w:rFonts w:hint="default" w:ascii="Times New Roman" w:hAnsi="Times New Roman" w:cs="Times New Roman"/>
          <w:lang w:val="de-DE" w:eastAsia="de-DE"/>
        </w:rPr>
        <w:t>筑牢秦岭生态安全屏障</w:t>
      </w:r>
      <w:r>
        <w:rPr>
          <w:rFonts w:hint="default" w:ascii="Times New Roman" w:hAnsi="Times New Roman" w:cs="Times New Roman"/>
          <w:lang w:val="en-US" w:eastAsia="zh-CN"/>
        </w:rPr>
        <w:t>。</w:t>
      </w:r>
    </w:p>
    <w:p w14:paraId="1A38E20A">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rtl w:val="0"/>
          <w:lang w:val="en-US" w:eastAsia="zh-CN"/>
        </w:rPr>
        <w:t>提升秦岭森林生态功能。</w:t>
      </w:r>
      <w:r>
        <w:rPr>
          <w:rFonts w:hint="default" w:ascii="Times New Roman" w:hAnsi="Times New Roman" w:cs="Times New Roman"/>
          <w:lang w:val="en-US" w:eastAsia="zh-CN"/>
        </w:rPr>
        <w:t>巩固国家森林城市创建成果，加强森林生态系统修复，主动融入秦岭国家公园建设。推进国土绿化，实施天然林保护、防护林建设、水土保持等工程，推进陡坡耕地退耕还林还草、低质低效林改造、退化林修复，加强公园绿地、道路绿化、居住区绿化、村庄绿化、庭院绿化、农田林网建设，完成营造林5万亩。以汉王镇、河东店镇为试点，深化集体林权制度改革。依托林地资源优势，大力发展林下经济。加强松材线虫等林业有害生物监测防控，推广无公害防治新技术，确保森林资源安全。到2030年，森林覆盖率稳定在28.2%左右，林地面积稳定在27.81万亩，活立木蓄积量达到125万立方米。</w:t>
      </w:r>
    </w:p>
    <w:p w14:paraId="12F507C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eastAsia="黑体" w:cs="Times New Roman"/>
          <w:lang w:val="en-US" w:eastAsia="zh-CN"/>
        </w:rPr>
      </w:pPr>
      <w:bookmarkStart w:id="223" w:name="_Toc19012"/>
      <w:bookmarkStart w:id="224" w:name="_Toc6404"/>
      <w:r>
        <w:rPr>
          <w:rFonts w:hint="default" w:ascii="Times New Roman" w:hAnsi="Times New Roman" w:eastAsia="黑体" w:cs="Times New Roman"/>
          <w:lang w:val="en-US" w:eastAsia="zh-CN"/>
        </w:rPr>
        <w:t>二、强化南水北调中线工程水源地保护</w:t>
      </w:r>
      <w:bookmarkEnd w:id="223"/>
      <w:bookmarkEnd w:id="224"/>
    </w:p>
    <w:p w14:paraId="2FCECB1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改善汉江水生态环境。</w:t>
      </w:r>
      <w:r>
        <w:rPr>
          <w:rFonts w:hint="default" w:ascii="Times New Roman" w:hAnsi="Times New Roman" w:cs="Times New Roman"/>
          <w:lang w:val="en-US" w:eastAsia="zh-CN"/>
        </w:rPr>
        <w:t>加强秦岭山地森林生态系统和河流生态系统保护，保护汉江沿岸植被，确保南水北调中线水源区水质安全。推进汉江生态治理及修复，改善水生态环境。对文庙河、黎家河等水体，因地制宜开展河流生态缓冲带保护修复，净化河流水质，拦截减少入河污染物。做好生态流量泄放、水文、水环境、水生态等预警监测，控制水环境污染，确保汉江汉台出境断面水质保持Ⅱ类，其他国控断面水质达到考核要求。</w:t>
      </w:r>
    </w:p>
    <w:p w14:paraId="3B5ABBC4">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加强湿地保护修复。</w:t>
      </w:r>
      <w:r>
        <w:rPr>
          <w:rFonts w:hint="default" w:ascii="Times New Roman" w:hAnsi="Times New Roman" w:cs="Times New Roman"/>
          <w:lang w:val="en-US" w:eastAsia="zh-CN"/>
        </w:rPr>
        <w:t>强化汉江、褒河、石门湿地保护与修复，推进退化湿地修复，增强湿地蓄水调洪调节气候、保持水土、净化水质、保护生物多样性等功能。提升天汉湿地公园建设品质，确保湿地保护区生态资源安全。加大水源涵养林建设与保护，加强河流湿地、库塘湿地等湿地生态监测管护。严格落实湿地分级管理要求，开展湿地保护类评估调查，守住湿地生态安全边界。严格控制建设项目占用湿地，保持湿地保有量总体稳定、湿地生态质量和生态服务功能不降低。</w:t>
      </w:r>
    </w:p>
    <w:p w14:paraId="221877B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加强水土流失综合治理。</w:t>
      </w:r>
      <w:r>
        <w:rPr>
          <w:rFonts w:hint="default" w:ascii="Times New Roman" w:hAnsi="Times New Roman" w:cs="Times New Roman"/>
          <w:lang w:val="en-US" w:eastAsia="zh-CN"/>
        </w:rPr>
        <w:t>强化城乡统筹，将水土治理与农村人居环境改善、特色产业发展相结合，加强生态清洁小流域建设。加强城市水土保持，落实生产建设项目全链条智慧监管，遏制人为水土流失，提升城市生态韧性；提升监测与执法能力，运用遥感、数字孪生等技术，构建智能化监管体系，严守生态红线。</w:t>
      </w:r>
    </w:p>
    <w:p w14:paraId="16A43F21">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构建现代化区域水网体系。</w:t>
      </w:r>
      <w:r>
        <w:rPr>
          <w:rFonts w:hint="default" w:ascii="Times New Roman" w:hAnsi="Times New Roman" w:cs="Times New Roman"/>
          <w:lang w:val="en-US" w:eastAsia="zh-CN"/>
        </w:rPr>
        <w:t>强化饮用水源地保护区规范化建设，有序推进水系连通、堤防提升、水库清淤等工程，恢复生态廊道连续性，提升防洪排涝韧性。科学规划引调水工程，统筹生活、生产、生态用水，增强水资源时空调配能力，推动智慧水网建设，实现水资源调度、洪水预警与工程运行的智能化管理，全面提升水安全保障能力。</w:t>
      </w:r>
    </w:p>
    <w:p w14:paraId="2D04F3D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eastAsia="黑体" w:cs="Times New Roman"/>
          <w:lang w:val="en-US" w:eastAsia="zh-CN"/>
        </w:rPr>
      </w:pPr>
      <w:bookmarkStart w:id="225" w:name="_Toc26223"/>
      <w:bookmarkStart w:id="226" w:name="_Toc16595"/>
      <w:r>
        <w:rPr>
          <w:rFonts w:hint="default" w:ascii="Times New Roman" w:hAnsi="Times New Roman" w:eastAsia="黑体" w:cs="Times New Roman"/>
          <w:lang w:val="en-US" w:eastAsia="zh-CN"/>
        </w:rPr>
        <w:t>三、加强生物多样性保护</w:t>
      </w:r>
      <w:bookmarkEnd w:id="225"/>
      <w:bookmarkEnd w:id="226"/>
    </w:p>
    <w:p w14:paraId="247FB043">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健全完善生物多样性保护机制。</w:t>
      </w:r>
      <w:r>
        <w:rPr>
          <w:rFonts w:hint="default" w:ascii="Times New Roman" w:hAnsi="Times New Roman" w:cs="Times New Roman"/>
          <w:lang w:val="en-US" w:eastAsia="zh-CN"/>
        </w:rPr>
        <w:t>建立和完善秦岭生物多样性保护管理体系，开展生物多样性调查监测与评估，摸清生物多样性本底。建设秦岭野生动植物及栖息地、保护区档案，逐步扩大羚牛、豹、川金丝猴等珍稀野生动物栖息地，增强栖息地之间连通性。打造汉江、褒河</w:t>
      </w:r>
      <w:r>
        <w:rPr>
          <w:rFonts w:hint="eastAsia" w:ascii="Times New Roman" w:hAnsi="Times New Roman" w:cs="Times New Roman"/>
          <w:lang w:val="en-US" w:eastAsia="zh-CN"/>
        </w:rPr>
        <w:t>——</w:t>
      </w:r>
      <w:r>
        <w:rPr>
          <w:rFonts w:hint="default" w:ascii="Times New Roman" w:hAnsi="Times New Roman" w:cs="Times New Roman"/>
          <w:lang w:val="en-US" w:eastAsia="zh-CN"/>
        </w:rPr>
        <w:t>沙沟河等生态廊道，加强珍稀濒危及特有鱼类资源产卵场、索饵场、越冬场、洄游通道等重要生境保护。</w:t>
      </w:r>
    </w:p>
    <w:p w14:paraId="2E8CEAD3">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守好秦岭生物基因库。</w:t>
      </w:r>
      <w:r>
        <w:rPr>
          <w:rFonts w:hint="default" w:ascii="Times New Roman" w:hAnsi="Times New Roman" w:cs="Times New Roman"/>
          <w:lang w:val="en-US" w:eastAsia="zh-CN"/>
        </w:rPr>
        <w:t>开展珍稀濒危物种抢救性保护，重点保护苏铁、银杏等珍稀野生植物，加大侧柏、黄连木等古树名木保护。加强对水花生、稻水象甲、松材线虫病、客氏红螯虾等外来入侵物种管控，开展自然保护地外来入侵物种防控成效评估。</w:t>
      </w:r>
    </w:p>
    <w:p w14:paraId="4C8E35E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加大执法和监督检查力度。</w:t>
      </w:r>
      <w:r>
        <w:rPr>
          <w:rFonts w:hint="default" w:ascii="Times New Roman" w:hAnsi="Times New Roman" w:cs="Times New Roman"/>
          <w:lang w:val="en-US" w:eastAsia="zh-CN"/>
        </w:rPr>
        <w:t>实施珍稀野生动植物保护，推动建设陕南动植物保护中心、自然科普教育馆。常态化开展</w:t>
      </w:r>
      <w:r>
        <w:rPr>
          <w:rFonts w:hint="eastAsia" w:ascii="Times New Roman" w:hAnsi="Times New Roman" w:cs="Times New Roman"/>
          <w:lang w:val="en-US" w:eastAsia="zh-CN"/>
        </w:rPr>
        <w:t>“</w:t>
      </w:r>
      <w:r>
        <w:rPr>
          <w:rFonts w:hint="default" w:ascii="Times New Roman" w:hAnsi="Times New Roman" w:cs="Times New Roman"/>
          <w:lang w:val="en-US" w:eastAsia="zh-CN"/>
        </w:rPr>
        <w:t>清风行动</w:t>
      </w:r>
      <w:r>
        <w:rPr>
          <w:rFonts w:hint="eastAsia" w:ascii="Times New Roman" w:hAnsi="Times New Roman" w:cs="Times New Roman"/>
          <w:lang w:val="en-US" w:eastAsia="zh-CN"/>
        </w:rPr>
        <w:t>”</w:t>
      </w:r>
      <w:r>
        <w:rPr>
          <w:rFonts w:hint="default" w:ascii="Times New Roman" w:hAnsi="Times New Roman" w:cs="Times New Roman"/>
          <w:lang w:val="en-US" w:eastAsia="zh-CN"/>
        </w:rPr>
        <w:t>，严厉打击非法张网捕鸟等涉野生动植物违法犯罪行为，严厉打击非法捕杀和交易野生动物行为。</w:t>
      </w:r>
    </w:p>
    <w:p w14:paraId="7EC621B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黑体" w:cs="Times New Roman"/>
          <w:lang w:val="en-US" w:eastAsia="zh-CN"/>
        </w:rPr>
      </w:pPr>
      <w:bookmarkStart w:id="227" w:name="_Toc11421"/>
      <w:bookmarkStart w:id="228" w:name="_Toc21731"/>
      <w:bookmarkStart w:id="229" w:name="_Toc19332"/>
      <w:r>
        <w:rPr>
          <w:rFonts w:hint="eastAsia" w:ascii="Times New Roman" w:hAnsi="Times New Roman" w:eastAsia="黑体" w:cs="Times New Roman"/>
          <w:lang w:val="en-US" w:eastAsia="zh-CN"/>
        </w:rPr>
        <w:t>第二节  加强减污降碳协同治理</w:t>
      </w:r>
      <w:bookmarkEnd w:id="227"/>
      <w:bookmarkEnd w:id="228"/>
      <w:bookmarkEnd w:id="229"/>
    </w:p>
    <w:p w14:paraId="79C95B9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黑体" w:hAnsi="黑体" w:eastAsia="黑体" w:cs="黑体"/>
          <w:lang w:val="en-US" w:eastAsia="zh-CN"/>
        </w:rPr>
      </w:pPr>
      <w:bookmarkStart w:id="230" w:name="_Toc9138"/>
      <w:bookmarkStart w:id="231" w:name="_Toc21314"/>
      <w:r>
        <w:rPr>
          <w:rFonts w:hint="eastAsia" w:ascii="黑体" w:hAnsi="黑体" w:eastAsia="黑体" w:cs="黑体"/>
          <w:lang w:val="en-US" w:eastAsia="zh-CN"/>
        </w:rPr>
        <w:t>一、持续改善大气环境质量</w:t>
      </w:r>
      <w:bookmarkEnd w:id="230"/>
      <w:bookmarkEnd w:id="231"/>
    </w:p>
    <w:p w14:paraId="2F8A8741">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rPr>
      </w:pPr>
      <w:r>
        <w:rPr>
          <w:rFonts w:hint="default" w:ascii="Times New Roman" w:hAnsi="Times New Roman" w:cs="Times New Roman"/>
          <w:lang w:eastAsia="zh-CN"/>
        </w:rPr>
        <w:t>开展大气污染治理专项行动。</w:t>
      </w:r>
      <w:r>
        <w:rPr>
          <w:rFonts w:hint="default" w:ascii="Times New Roman" w:hAnsi="Times New Roman" w:cs="Times New Roman"/>
        </w:rPr>
        <w:t>加强PM</w:t>
      </w:r>
      <w:r>
        <w:rPr>
          <w:rFonts w:hint="default" w:ascii="Times New Roman" w:hAnsi="Times New Roman" w:cs="Times New Roman"/>
          <w:vertAlign w:val="subscript"/>
        </w:rPr>
        <w:t>2</w:t>
      </w:r>
      <w:r>
        <w:rPr>
          <w:rFonts w:hint="default" w:ascii="Times New Roman" w:hAnsi="Times New Roman" w:cs="Times New Roman"/>
          <w:vertAlign w:val="subscript"/>
          <w:lang w:eastAsia="zh-CN"/>
        </w:rPr>
        <w:t>.</w:t>
      </w:r>
      <w:r>
        <w:rPr>
          <w:rFonts w:hint="default" w:ascii="Times New Roman" w:hAnsi="Times New Roman" w:cs="Times New Roman"/>
          <w:vertAlign w:val="subscript"/>
        </w:rPr>
        <w:t>5</w:t>
      </w:r>
      <w:r>
        <w:rPr>
          <w:rFonts w:hint="default" w:ascii="Times New Roman" w:hAnsi="Times New Roman" w:cs="Times New Roman"/>
        </w:rPr>
        <w:t>和</w:t>
      </w:r>
      <w:r>
        <w:rPr>
          <w:rFonts w:hint="default" w:ascii="Times New Roman" w:hAnsi="Times New Roman" w:cs="Times New Roman"/>
          <w:lang w:val="en-US" w:eastAsia="zh-CN"/>
        </w:rPr>
        <w:t>臭氧</w:t>
      </w:r>
      <w:r>
        <w:rPr>
          <w:rFonts w:hint="default" w:ascii="Times New Roman" w:hAnsi="Times New Roman" w:cs="Times New Roman"/>
          <w:lang w:eastAsia="zh-CN"/>
        </w:rPr>
        <w:t>（</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lang w:eastAsia="zh-CN"/>
        </w:rPr>
        <w:t>）</w:t>
      </w:r>
      <w:r>
        <w:rPr>
          <w:rFonts w:hint="default" w:ascii="Times New Roman" w:hAnsi="Times New Roman" w:cs="Times New Roman"/>
        </w:rPr>
        <w:t>协同控制，推动挥发性有机物</w:t>
      </w:r>
      <w:r>
        <w:rPr>
          <w:rFonts w:hint="default" w:ascii="Times New Roman" w:hAnsi="Times New Roman" w:cs="Times New Roman"/>
          <w:lang w:eastAsia="zh-CN"/>
        </w:rPr>
        <w:t>（VOCs）</w:t>
      </w:r>
      <w:r>
        <w:rPr>
          <w:rFonts w:hint="default" w:ascii="Times New Roman" w:hAnsi="Times New Roman" w:cs="Times New Roman"/>
        </w:rPr>
        <w:t>和氮氧化物</w:t>
      </w:r>
      <w:r>
        <w:rPr>
          <w:rFonts w:hint="default" w:ascii="Times New Roman" w:hAnsi="Times New Roman" w:cs="Times New Roman"/>
          <w:lang w:eastAsia="zh-CN"/>
        </w:rPr>
        <w:t>（NOx）</w:t>
      </w:r>
      <w:r>
        <w:rPr>
          <w:rFonts w:hint="default" w:ascii="Times New Roman" w:hAnsi="Times New Roman" w:cs="Times New Roman"/>
        </w:rPr>
        <w:t>协同减排，强化多污染物与温室气体协同控制。加强大气面源污染治理</w:t>
      </w:r>
      <w:r>
        <w:rPr>
          <w:rFonts w:hint="default" w:ascii="Times New Roman" w:hAnsi="Times New Roman" w:cs="Times New Roman"/>
          <w:lang w:eastAsia="zh-CN"/>
        </w:rPr>
        <w:t>，强化施工、道路、堆场、裸露地面等扬尘管控，</w:t>
      </w:r>
      <w:r>
        <w:rPr>
          <w:rFonts w:hint="default" w:ascii="Times New Roman" w:hAnsi="Times New Roman" w:cs="Times New Roman"/>
        </w:rPr>
        <w:t>推进水泥等重点行业超低排放改造，推进散煤、工业窑炉污染治理</w:t>
      </w:r>
      <w:r>
        <w:rPr>
          <w:rFonts w:hint="default" w:ascii="Times New Roman" w:hAnsi="Times New Roman" w:cs="Times New Roman"/>
          <w:lang w:eastAsia="zh-CN"/>
        </w:rPr>
        <w:t>。严管重型柴油车和燃气车排放</w:t>
      </w:r>
      <w:r>
        <w:rPr>
          <w:rFonts w:hint="default" w:ascii="Times New Roman" w:hAnsi="Times New Roman" w:cs="Times New Roman"/>
        </w:rPr>
        <w:t>。建立制药、汽修、印刷、包装、工业涂装、家具制造等行业企业源头、过程和末端全过程控制体系，有效减少挥发性有机物（VOCs）和氮氧化物（NOx）生成和排放总量。</w:t>
      </w:r>
      <w:r>
        <w:rPr>
          <w:rFonts w:hint="default" w:ascii="Times New Roman" w:hAnsi="Times New Roman" w:cs="Times New Roman"/>
          <w:lang w:eastAsia="zh-CN"/>
        </w:rPr>
        <w:t>加强城市保洁和清扫，加大群众身边餐饮油烟污染、恶臭异味、噪声污染治理力度。</w:t>
      </w:r>
      <w:r>
        <w:rPr>
          <w:rFonts w:hint="default" w:ascii="Times New Roman" w:hAnsi="Times New Roman" w:cs="Times New Roman"/>
        </w:rPr>
        <w:t>强化大气联防联控</w:t>
      </w:r>
      <w:r>
        <w:rPr>
          <w:rFonts w:hint="default" w:ascii="Times New Roman" w:hAnsi="Times New Roman" w:cs="Times New Roman"/>
          <w:lang w:eastAsia="zh-CN"/>
        </w:rPr>
        <w:t>，</w:t>
      </w:r>
      <w:r>
        <w:rPr>
          <w:rFonts w:hint="default" w:ascii="Times New Roman" w:hAnsi="Times New Roman" w:cs="Times New Roman"/>
          <w:lang w:val="en-US" w:eastAsia="zh-CN"/>
        </w:rPr>
        <w:t>最大限度减少重污染天气发生。</w:t>
      </w:r>
    </w:p>
    <w:p w14:paraId="3DE8A29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eastAsia="黑体" w:cs="Times New Roman"/>
          <w:lang w:val="en-US" w:eastAsia="zh-CN"/>
        </w:rPr>
      </w:pPr>
      <w:bookmarkStart w:id="232" w:name="_Toc8903"/>
      <w:bookmarkStart w:id="233" w:name="_Toc11208"/>
      <w:r>
        <w:rPr>
          <w:rFonts w:hint="default" w:ascii="Times New Roman" w:hAnsi="Times New Roman" w:eastAsia="黑体" w:cs="Times New Roman"/>
          <w:lang w:val="en-US" w:eastAsia="zh-CN"/>
        </w:rPr>
        <w:t>二、持续打好碧水保卫战</w:t>
      </w:r>
      <w:bookmarkEnd w:id="232"/>
      <w:bookmarkEnd w:id="233"/>
    </w:p>
    <w:p w14:paraId="2A8B59B4">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rPr>
      </w:pPr>
      <w:r>
        <w:rPr>
          <w:rFonts w:hint="default" w:ascii="Times New Roman" w:hAnsi="Times New Roman" w:cs="Times New Roman"/>
          <w:lang w:val="en-US" w:eastAsia="zh-CN"/>
        </w:rPr>
        <w:t>落实水资源刚性约束制度，强化水资源节约集约安全利用，严控水资源开发利用总量。强化河湖长制落实，推进</w:t>
      </w:r>
      <w:r>
        <w:rPr>
          <w:rFonts w:hint="default" w:ascii="Times New Roman" w:hAnsi="Times New Roman" w:cs="Times New Roman"/>
        </w:rPr>
        <w:t>水资源、水环境、水生态</w:t>
      </w:r>
      <w:r>
        <w:rPr>
          <w:rFonts w:hint="eastAsia" w:ascii="Times New Roman" w:hAnsi="Times New Roman" w:cs="Times New Roman"/>
          <w:lang w:eastAsia="zh-CN"/>
        </w:rPr>
        <w:t>“</w:t>
      </w:r>
      <w:r>
        <w:rPr>
          <w:rFonts w:hint="default" w:ascii="Times New Roman" w:hAnsi="Times New Roman" w:cs="Times New Roman"/>
          <w:lang w:val="en-US" w:eastAsia="zh-CN"/>
        </w:rPr>
        <w:t>三水共治</w:t>
      </w:r>
      <w:r>
        <w:rPr>
          <w:rFonts w:hint="eastAsia" w:ascii="Times New Roman" w:hAnsi="Times New Roman" w:cs="Times New Roman"/>
          <w:lang w:eastAsia="zh-CN"/>
        </w:rPr>
        <w:t>”</w:t>
      </w:r>
      <w:r>
        <w:rPr>
          <w:rFonts w:hint="default" w:ascii="Times New Roman" w:hAnsi="Times New Roman" w:cs="Times New Roman"/>
          <w:lang w:val="en-US" w:eastAsia="zh-CN"/>
        </w:rPr>
        <w:t>。</w:t>
      </w:r>
      <w:r>
        <w:rPr>
          <w:rFonts w:hint="default" w:ascii="Times New Roman" w:hAnsi="Times New Roman" w:cs="Times New Roman"/>
        </w:rPr>
        <w:t>常态化开展河湖</w:t>
      </w:r>
      <w:r>
        <w:rPr>
          <w:rFonts w:hint="eastAsia" w:ascii="Times New Roman" w:hAnsi="Times New Roman" w:cs="Times New Roman"/>
          <w:lang w:eastAsia="zh-CN"/>
        </w:rPr>
        <w:t>“</w:t>
      </w:r>
      <w:r>
        <w:rPr>
          <w:rFonts w:hint="default" w:ascii="Times New Roman" w:hAnsi="Times New Roman" w:cs="Times New Roman"/>
        </w:rPr>
        <w:t>清四乱</w:t>
      </w:r>
      <w:r>
        <w:rPr>
          <w:rFonts w:hint="eastAsia" w:ascii="Times New Roman" w:hAnsi="Times New Roman" w:cs="Times New Roman"/>
          <w:lang w:eastAsia="zh-CN"/>
        </w:rPr>
        <w:t>”</w:t>
      </w:r>
      <w:r>
        <w:rPr>
          <w:rFonts w:hint="default" w:ascii="Times New Roman" w:hAnsi="Times New Roman" w:cs="Times New Roman"/>
          <w:lang w:val="en-US" w:eastAsia="zh-CN"/>
        </w:rPr>
        <w:t>整治</w:t>
      </w:r>
      <w:r>
        <w:rPr>
          <w:rFonts w:hint="default" w:ascii="Times New Roman" w:hAnsi="Times New Roman" w:cs="Times New Roman"/>
        </w:rPr>
        <w:t>，完善城市排水管网，加大雨污分流管网改造</w:t>
      </w:r>
      <w:r>
        <w:rPr>
          <w:rFonts w:hint="default" w:ascii="Times New Roman" w:hAnsi="Times New Roman" w:cs="Times New Roman"/>
          <w:lang w:eastAsia="zh-CN"/>
        </w:rPr>
        <w:t>，</w:t>
      </w:r>
      <w:r>
        <w:rPr>
          <w:rFonts w:hint="default" w:ascii="Times New Roman" w:hAnsi="Times New Roman" w:cs="Times New Roman"/>
        </w:rPr>
        <w:t>加快补齐城镇生活污水收集和处理设施短板。完善饮用水源地监测管理体系，强化饮用水源监管执法，推进</w:t>
      </w:r>
      <w:r>
        <w:rPr>
          <w:rFonts w:hint="default" w:ascii="Times New Roman" w:hAnsi="Times New Roman" w:cs="Times New Roman"/>
          <w:lang w:val="en-US" w:eastAsia="zh-CN"/>
        </w:rPr>
        <w:t>实施</w:t>
      </w:r>
      <w:r>
        <w:rPr>
          <w:rFonts w:hint="default" w:ascii="Times New Roman" w:hAnsi="Times New Roman" w:cs="Times New Roman"/>
        </w:rPr>
        <w:t>农村规模化供水工程</w:t>
      </w:r>
      <w:r>
        <w:rPr>
          <w:rFonts w:hint="default" w:ascii="Times New Roman" w:hAnsi="Times New Roman" w:cs="Times New Roman"/>
          <w:lang w:eastAsia="zh-CN"/>
        </w:rPr>
        <w:t>，</w:t>
      </w:r>
      <w:r>
        <w:rPr>
          <w:rFonts w:hint="default" w:ascii="Times New Roman" w:hAnsi="Times New Roman" w:cs="Times New Roman"/>
        </w:rPr>
        <w:t>协同防治土壤、地下水与地表水污染。推进汉江流域污染防治、生态保护修复和岸滩环境整治，保护汉江左岸低山丘陵植被，确保南水北调中线水源区水质安全</w:t>
      </w:r>
      <w:r>
        <w:rPr>
          <w:rFonts w:hint="default" w:ascii="Times New Roman" w:hAnsi="Times New Roman" w:cs="Times New Roman"/>
          <w:lang w:val="en-US" w:eastAsia="zh-CN"/>
        </w:rPr>
        <w:t>。到2030年，</w:t>
      </w:r>
      <w:r>
        <w:rPr>
          <w:rFonts w:hint="default" w:ascii="Times New Roman" w:hAnsi="Times New Roman" w:cs="Times New Roman"/>
        </w:rPr>
        <w:t>城镇污水处理率达到9</w:t>
      </w:r>
      <w:r>
        <w:rPr>
          <w:rFonts w:hint="default" w:ascii="Times New Roman" w:hAnsi="Times New Roman" w:cs="Times New Roman"/>
          <w:lang w:val="en-US" w:eastAsia="zh-CN"/>
        </w:rPr>
        <w:t>8</w:t>
      </w:r>
      <w:r>
        <w:rPr>
          <w:rFonts w:hint="default" w:ascii="Times New Roman" w:hAnsi="Times New Roman" w:cs="Times New Roman"/>
        </w:rPr>
        <w:t>%，农村生活污水收集处理率达到</w:t>
      </w:r>
      <w:r>
        <w:rPr>
          <w:rFonts w:hint="default" w:ascii="Times New Roman" w:hAnsi="Times New Roman" w:cs="Times New Roman"/>
          <w:lang w:val="en-US" w:eastAsia="zh-CN"/>
        </w:rPr>
        <w:t>6</w:t>
      </w:r>
      <w:r>
        <w:rPr>
          <w:rFonts w:hint="default" w:ascii="Times New Roman" w:hAnsi="Times New Roman" w:cs="Times New Roman"/>
        </w:rPr>
        <w:t>0%以上</w:t>
      </w:r>
      <w:r>
        <w:rPr>
          <w:rFonts w:hint="default" w:ascii="Times New Roman" w:hAnsi="Times New Roman" w:cs="Times New Roman"/>
          <w:lang w:eastAsia="zh-CN"/>
        </w:rPr>
        <w:t>，</w:t>
      </w:r>
      <w:r>
        <w:rPr>
          <w:rFonts w:hint="default" w:ascii="Times New Roman" w:hAnsi="Times New Roman" w:cs="Times New Roman"/>
        </w:rPr>
        <w:t>饮用水水质达标率100%。</w:t>
      </w:r>
    </w:p>
    <w:p w14:paraId="7BCA37DE">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eastAsia="黑体" w:cs="Times New Roman"/>
          <w:rtl w:val="0"/>
          <w:lang w:val="en-US" w:eastAsia="zh-CN"/>
        </w:rPr>
      </w:pPr>
      <w:bookmarkStart w:id="234" w:name="_Toc29946"/>
      <w:bookmarkStart w:id="235" w:name="_Toc23910"/>
      <w:r>
        <w:rPr>
          <w:rFonts w:hint="default" w:ascii="Times New Roman" w:hAnsi="Times New Roman" w:eastAsia="黑体" w:cs="Times New Roman"/>
          <w:rtl w:val="0"/>
          <w:lang w:val="en-US" w:eastAsia="zh-CN"/>
        </w:rPr>
        <w:t>三、强化土壤污染防治</w:t>
      </w:r>
      <w:bookmarkEnd w:id="234"/>
      <w:bookmarkEnd w:id="235"/>
    </w:p>
    <w:p w14:paraId="13AEEEB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cs="Times New Roman"/>
        </w:rPr>
      </w:pPr>
      <w:r>
        <w:rPr>
          <w:rFonts w:hint="default" w:ascii="Times New Roman" w:hAnsi="Times New Roman" w:cs="Times New Roman"/>
        </w:rPr>
        <w:t>坚持预防为主、保护优先、分类管理、风险管控，强化优先保护类耕地保护，扎实推进受污染耕地安全利用和风险管控，实施土壤污染源头防控行动，严格土壤污染重点监管单位和地下水污染防治重点排污单位环境监管。</w:t>
      </w:r>
      <w:r>
        <w:rPr>
          <w:rFonts w:hint="default" w:ascii="Times New Roman" w:hAnsi="Times New Roman" w:cs="Times New Roman"/>
          <w:lang w:val="en-US" w:eastAsia="zh-CN"/>
        </w:rPr>
        <w:t>推进农药化肥减量增效、畜禽粪污资源化利用、秸秆综合利用和农膜回收利用，切实强化农业面源污染治理</w:t>
      </w:r>
      <w:r>
        <w:rPr>
          <w:rFonts w:hint="default" w:ascii="Times New Roman" w:hAnsi="Times New Roman" w:cs="Times New Roman"/>
        </w:rPr>
        <w:t>。</w:t>
      </w:r>
      <w:r>
        <w:rPr>
          <w:rFonts w:hint="default" w:ascii="Times New Roman" w:hAnsi="Times New Roman" w:cs="Times New Roman"/>
          <w:lang w:val="en-US" w:eastAsia="zh-CN"/>
        </w:rPr>
        <w:t>严格建设用地准入，常态化开展</w:t>
      </w:r>
      <w:r>
        <w:rPr>
          <w:rFonts w:hint="eastAsia" w:ascii="Times New Roman" w:hAnsi="Times New Roman" w:cs="Times New Roman"/>
          <w:lang w:val="en-US" w:eastAsia="zh-CN"/>
        </w:rPr>
        <w:t>“</w:t>
      </w:r>
      <w:r>
        <w:rPr>
          <w:rFonts w:hint="default" w:ascii="Times New Roman" w:hAnsi="Times New Roman" w:cs="Times New Roman"/>
          <w:lang w:val="en-US" w:eastAsia="zh-CN"/>
        </w:rPr>
        <w:t>一住两公</w:t>
      </w:r>
      <w:r>
        <w:rPr>
          <w:rFonts w:hint="eastAsia" w:ascii="Times New Roman" w:hAnsi="Times New Roman" w:cs="Times New Roman"/>
          <w:lang w:val="en-US" w:eastAsia="zh-CN"/>
        </w:rPr>
        <w:t>”</w:t>
      </w:r>
      <w:r>
        <w:rPr>
          <w:rFonts w:hint="default" w:ascii="Times New Roman" w:hAnsi="Times New Roman" w:cs="Times New Roman"/>
          <w:lang w:val="en-US" w:eastAsia="zh-CN"/>
        </w:rPr>
        <w:t>用地土壤污染状况调查，建立健全土壤环境监测、评估、预防和执法机制。</w:t>
      </w:r>
    </w:p>
    <w:p w14:paraId="0F135A5D">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Times New Roman" w:hAnsi="Times New Roman" w:eastAsia="黑体" w:cs="Times New Roman"/>
          <w:rtl w:val="0"/>
          <w:lang w:val="en-US" w:eastAsia="zh-CN"/>
        </w:rPr>
      </w:pPr>
      <w:bookmarkStart w:id="236" w:name="_Toc23226"/>
      <w:bookmarkStart w:id="237" w:name="_Toc14252"/>
      <w:r>
        <w:rPr>
          <w:rFonts w:hint="default" w:ascii="Times New Roman" w:hAnsi="Times New Roman" w:eastAsia="黑体" w:cs="Times New Roman"/>
          <w:rtl w:val="0"/>
          <w:lang w:val="en-US" w:eastAsia="zh-CN"/>
        </w:rPr>
        <w:t>四、加强固体废物污染防治</w:t>
      </w:r>
      <w:bookmarkEnd w:id="236"/>
      <w:bookmarkEnd w:id="237"/>
    </w:p>
    <w:p w14:paraId="6C0A631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default"/>
        </w:rPr>
        <w:t>完善环境风险防控机制，高标准推进</w:t>
      </w:r>
      <w:r>
        <w:rPr>
          <w:rFonts w:hint="eastAsia"/>
          <w:lang w:eastAsia="zh-CN"/>
        </w:rPr>
        <w:t>“</w:t>
      </w:r>
      <w:r>
        <w:rPr>
          <w:rFonts w:hint="default"/>
        </w:rPr>
        <w:t>无废城市</w:t>
      </w:r>
      <w:r>
        <w:rPr>
          <w:rFonts w:hint="eastAsia"/>
          <w:lang w:eastAsia="zh-CN"/>
        </w:rPr>
        <w:t>”</w:t>
      </w:r>
      <w:r>
        <w:rPr>
          <w:rFonts w:hint="default"/>
        </w:rPr>
        <w:t>建设。加强固体废物综合治理，推动大宗固体废物循环利用，</w:t>
      </w:r>
      <w:r>
        <w:rPr>
          <w:rFonts w:hint="default"/>
          <w:lang w:val="en-US" w:eastAsia="zh-CN"/>
        </w:rPr>
        <w:t>强化</w:t>
      </w:r>
      <w:r>
        <w:rPr>
          <w:rFonts w:hint="default"/>
        </w:rPr>
        <w:t>废弃物产品规范回收利用和安全处置。加强危险废</w:t>
      </w:r>
      <w:r>
        <w:rPr>
          <w:rFonts w:hint="default"/>
          <w:lang w:eastAsia="zh-CN"/>
        </w:rPr>
        <w:t>物和</w:t>
      </w:r>
      <w:r>
        <w:rPr>
          <w:rFonts w:hint="default"/>
        </w:rPr>
        <w:t>医疗废物规范处置。建立新污染物协同治理和环境风险管控体系，大力推进多污染物协同减排。实施重金属减排工程。</w:t>
      </w:r>
    </w:p>
    <w:tbl>
      <w:tblPr>
        <w:tblStyle w:val="15"/>
        <w:tblW w:w="0" w:type="auto"/>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7"/>
      </w:tblGrid>
      <w:tr w14:paraId="36E7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7" w:type="dxa"/>
            <w:noWrap w:val="0"/>
            <w:vAlign w:val="top"/>
          </w:tcPr>
          <w:p w14:paraId="7FD010A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cs="Times New Roman"/>
                <w:color w:val="auto"/>
                <w:vertAlign w:val="baseline"/>
                <w:lang w:val="en-US" w:eastAsia="zh-CN"/>
              </w:rPr>
            </w:pPr>
            <w:r>
              <w:rPr>
                <w:rFonts w:hint="default" w:ascii="Times New Roman" w:hAnsi="Times New Roman" w:eastAsia="黑体" w:cs="Times New Roman"/>
                <w:b w:val="0"/>
                <w:bCs w:val="0"/>
                <w:color w:val="auto"/>
                <w:sz w:val="28"/>
                <w:szCs w:val="28"/>
                <w:lang w:val="en-US" w:eastAsia="zh-CN"/>
              </w:rPr>
              <w:t>专栏7-</w:t>
            </w:r>
            <w:r>
              <w:rPr>
                <w:rFonts w:hint="eastAsia" w:eastAsia="黑体" w:cs="Times New Roman"/>
                <w:b w:val="0"/>
                <w:bCs w:val="0"/>
                <w:color w:val="auto"/>
                <w:sz w:val="28"/>
                <w:szCs w:val="28"/>
                <w:lang w:val="en-US" w:eastAsia="zh-CN"/>
              </w:rPr>
              <w:t>1</w:t>
            </w:r>
            <w:r>
              <w:rPr>
                <w:rFonts w:hint="default" w:ascii="Times New Roman" w:hAnsi="Times New Roman" w:eastAsia="黑体" w:cs="Times New Roman"/>
                <w:b w:val="0"/>
                <w:bCs w:val="0"/>
                <w:color w:val="auto"/>
                <w:sz w:val="28"/>
                <w:szCs w:val="28"/>
                <w:lang w:val="en-US" w:eastAsia="zh-CN"/>
              </w:rPr>
              <w:t xml:space="preserve">  生态环境治理体系工程</w:t>
            </w:r>
          </w:p>
        </w:tc>
      </w:tr>
      <w:tr w14:paraId="15F8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7" w:type="dxa"/>
            <w:noWrap w:val="0"/>
            <w:vAlign w:val="top"/>
          </w:tcPr>
          <w:p w14:paraId="5EB4A0A1">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snapToGrid w:val="0"/>
                <w:color w:val="auto"/>
                <w:spacing w:val="-6"/>
                <w:kern w:val="0"/>
                <w:sz w:val="24"/>
                <w:szCs w:val="24"/>
                <w:lang w:val="en-US" w:eastAsia="zh-CN"/>
              </w:rPr>
            </w:pPr>
            <w:r>
              <w:rPr>
                <w:rFonts w:hint="default" w:ascii="Times New Roman" w:hAnsi="Times New Roman" w:eastAsia="仿宋_GB2312" w:cs="Times New Roman"/>
                <w:b/>
                <w:bCs/>
                <w:color w:val="auto"/>
                <w:spacing w:val="0"/>
                <w:kern w:val="2"/>
                <w:sz w:val="24"/>
                <w:szCs w:val="24"/>
                <w:vertAlign w:val="baseline"/>
                <w:lang w:val="en-US" w:eastAsia="zh-CN" w:bidi="ar-SA"/>
              </w:rPr>
              <w:t>蓝天保卫战工程。</w:t>
            </w:r>
            <w:r>
              <w:rPr>
                <w:rFonts w:hint="default" w:ascii="Times New Roman" w:hAnsi="Times New Roman" w:cs="Times New Roman"/>
                <w:snapToGrid w:val="0"/>
                <w:color w:val="auto"/>
                <w:spacing w:val="-6"/>
                <w:kern w:val="0"/>
                <w:sz w:val="24"/>
                <w:szCs w:val="24"/>
                <w:lang w:val="en-US" w:eastAsia="zh-CN"/>
              </w:rPr>
              <w:t>重点建设</w:t>
            </w:r>
            <w:r>
              <w:rPr>
                <w:rFonts w:hint="default" w:ascii="Times New Roman" w:hAnsi="Times New Roman" w:eastAsia="仿宋_GB2312" w:cs="Times New Roman"/>
                <w:snapToGrid w:val="0"/>
                <w:color w:val="auto"/>
                <w:spacing w:val="-6"/>
                <w:kern w:val="0"/>
                <w:sz w:val="24"/>
                <w:szCs w:val="24"/>
                <w:lang w:eastAsia="zh-CN"/>
              </w:rPr>
              <w:t>汉台区生态环境监管能力提升</w:t>
            </w:r>
            <w:r>
              <w:rPr>
                <w:rFonts w:hint="default" w:ascii="Times New Roman" w:hAnsi="Times New Roman" w:cs="Times New Roman"/>
                <w:snapToGrid w:val="0"/>
                <w:color w:val="auto"/>
                <w:spacing w:val="-6"/>
                <w:kern w:val="0"/>
                <w:sz w:val="24"/>
                <w:szCs w:val="24"/>
                <w:lang w:eastAsia="zh-CN"/>
              </w:rPr>
              <w:t>、</w:t>
            </w:r>
            <w:r>
              <w:rPr>
                <w:rFonts w:hint="default" w:ascii="Times New Roman" w:hAnsi="Times New Roman" w:cs="Times New Roman"/>
                <w:snapToGrid w:val="0"/>
                <w:color w:val="auto"/>
                <w:spacing w:val="-6"/>
                <w:kern w:val="0"/>
                <w:sz w:val="24"/>
                <w:szCs w:val="24"/>
                <w:lang w:val="en-US" w:eastAsia="zh-CN"/>
              </w:rPr>
              <w:t>车辆尾气在线监测设备、涉气企业超低排放改造和绩效升级、餐饮企业油烟监控设备、农村地区散煤综合治理等项目。</w:t>
            </w:r>
          </w:p>
          <w:p w14:paraId="0A456BA8">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碧水保卫战工程</w:t>
            </w:r>
            <w:r>
              <w:rPr>
                <w:rFonts w:hint="default" w:ascii="Times New Roman" w:hAnsi="Times New Roman" w:cs="Times New Roman"/>
                <w:b/>
                <w:bCs/>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重点建设中心城区水系修复及生态治理工程</w:t>
            </w:r>
            <w:r>
              <w:rPr>
                <w:rFonts w:hint="default" w:ascii="Times New Roman" w:hAnsi="Times New Roman" w:cs="Times New Roman"/>
                <w:b w:val="0"/>
                <w:bCs w:val="0"/>
                <w:color w:val="auto"/>
                <w:spacing w:val="0"/>
                <w:kern w:val="2"/>
                <w:sz w:val="24"/>
                <w:szCs w:val="24"/>
                <w:vertAlign w:val="baseline"/>
                <w:lang w:val="en-US" w:eastAsia="zh-CN" w:bidi="ar-SA"/>
              </w:rPr>
              <w:t>、汉台区水资源监测体系、地下水监测调度及智慧化管理、黎家河幸福河湖、褒河汇入口水生态治理及文化广场、天汉湿地公园保护提升、汉江（汉台段）水利风景区、西汉</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四大名池</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开发保护等项目。</w:t>
            </w:r>
          </w:p>
          <w:p w14:paraId="031E7C5F">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净土保卫战工程。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重点建设重点区域土壤及地下水综合治理</w:t>
            </w:r>
            <w:r>
              <w:rPr>
                <w:rFonts w:hint="default" w:ascii="Times New Roman" w:hAnsi="Times New Roman" w:cs="Times New Roman"/>
                <w:b w:val="0"/>
                <w:bCs w:val="0"/>
                <w:color w:val="auto"/>
                <w:spacing w:val="0"/>
                <w:kern w:val="2"/>
                <w:sz w:val="24"/>
                <w:szCs w:val="24"/>
                <w:vertAlign w:val="baseline"/>
                <w:lang w:val="en-US" w:eastAsia="zh-CN" w:bidi="ar-SA"/>
              </w:rPr>
              <w:t>、汉台区历史遗留矿山生态修复、武乡镇全域土地综合整治、老君镇全域土地综合整治、龙江街道全域土地综合整治、七里街道全域土地综合整治等项目。</w:t>
            </w:r>
          </w:p>
          <w:p w14:paraId="379755C9">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固体废弃物处理工程。</w:t>
            </w:r>
            <w:r>
              <w:rPr>
                <w:rFonts w:hint="default" w:ascii="Times New Roman" w:hAnsi="Times New Roman" w:cs="Times New Roman"/>
                <w:b w:val="0"/>
                <w:bCs w:val="0"/>
                <w:color w:val="auto"/>
                <w:spacing w:val="0"/>
                <w:kern w:val="2"/>
                <w:sz w:val="24"/>
                <w:szCs w:val="24"/>
                <w:vertAlign w:val="baseline"/>
                <w:lang w:val="en-US" w:eastAsia="zh-CN" w:bidi="ar-SA"/>
              </w:rPr>
              <w:t>重点建设汉台区医疗废物处置中心、大型工业固废循环利用中心、农业固废生态循环再利用、汉中市有毒有害垃圾暂存点等项目。</w:t>
            </w:r>
          </w:p>
        </w:tc>
      </w:tr>
    </w:tbl>
    <w:p w14:paraId="65FF12A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黑体" w:cs="Times New Roman"/>
          <w:lang w:val="en-US" w:eastAsia="zh-CN"/>
        </w:rPr>
      </w:pPr>
      <w:bookmarkStart w:id="238" w:name="_Toc14700"/>
      <w:bookmarkStart w:id="239" w:name="_Toc29796"/>
      <w:bookmarkStart w:id="240" w:name="_Toc20378"/>
      <w:r>
        <w:rPr>
          <w:rFonts w:hint="eastAsia" w:ascii="Times New Roman" w:hAnsi="Times New Roman" w:eastAsia="黑体" w:cs="Times New Roman"/>
          <w:lang w:val="en-US" w:eastAsia="zh-CN"/>
        </w:rPr>
        <w:t>第三节  推动绿色低碳循环发展</w:t>
      </w:r>
      <w:bookmarkEnd w:id="238"/>
      <w:bookmarkEnd w:id="239"/>
      <w:bookmarkEnd w:id="240"/>
    </w:p>
    <w:p w14:paraId="4DBC047E">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黑体" w:hAnsi="黑体" w:eastAsia="黑体" w:cs="黑体"/>
          <w:rtl w:val="0"/>
          <w:lang w:val="en-US" w:eastAsia="zh-CN"/>
        </w:rPr>
      </w:pPr>
      <w:bookmarkStart w:id="241" w:name="_Toc10401"/>
      <w:bookmarkStart w:id="242" w:name="_Toc26328"/>
      <w:r>
        <w:rPr>
          <w:rFonts w:hint="default" w:ascii="黑体" w:hAnsi="黑体" w:eastAsia="黑体" w:cs="黑体"/>
          <w:rtl w:val="0"/>
          <w:lang w:val="en-US" w:eastAsia="zh-CN"/>
        </w:rPr>
        <w:t>一</w:t>
      </w:r>
      <w:r>
        <w:rPr>
          <w:rFonts w:hint="default" w:ascii="Times New Roman" w:hAnsi="Times New Roman" w:eastAsia="黑体" w:cs="Times New Roman"/>
          <w:rtl w:val="0"/>
          <w:lang w:val="en-US" w:eastAsia="zh-CN"/>
        </w:rPr>
        <w:t>、</w:t>
      </w:r>
      <w:r>
        <w:rPr>
          <w:rFonts w:hint="default" w:ascii="黑体" w:hAnsi="黑体" w:eastAsia="黑体" w:cs="黑体"/>
          <w:rtl w:val="0"/>
          <w:lang w:val="en-US" w:eastAsia="zh-CN"/>
        </w:rPr>
        <w:t>积极稳妥推进实现碳达峰</w:t>
      </w:r>
      <w:bookmarkEnd w:id="241"/>
      <w:bookmarkEnd w:id="242"/>
    </w:p>
    <w:p w14:paraId="13FFA1DC">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坚持把碳达峰、碳中和纳入生态文明建设整体布局，推动减污降碳协同增效，坚决遏制</w:t>
      </w:r>
      <w:r>
        <w:rPr>
          <w:rFonts w:hint="eastAsia"/>
          <w:lang w:val="en-US" w:eastAsia="zh-CN"/>
        </w:rPr>
        <w:t>“</w:t>
      </w:r>
      <w:r>
        <w:rPr>
          <w:rFonts w:hint="default"/>
          <w:lang w:val="en-US" w:eastAsia="zh-CN"/>
        </w:rPr>
        <w:t>两高</w:t>
      </w:r>
      <w:r>
        <w:rPr>
          <w:rFonts w:hint="eastAsia"/>
          <w:lang w:val="en-US" w:eastAsia="zh-CN"/>
        </w:rPr>
        <w:t>”</w:t>
      </w:r>
      <w:r>
        <w:rPr>
          <w:rFonts w:hint="default"/>
          <w:lang w:val="en-US" w:eastAsia="zh-CN"/>
        </w:rPr>
        <w:t>项目发展，推动能耗双控向碳排放双控转变，确保如期实现碳达峰目标。</w:t>
      </w:r>
      <w:r>
        <w:rPr>
          <w:rFonts w:hint="default"/>
        </w:rPr>
        <w:t>全面摸清能源、工业、建筑、交通、农业等行业碳排放底数，推动建立企业温室气体排放信息披露制度，</w:t>
      </w:r>
      <w:r>
        <w:rPr>
          <w:rFonts w:hint="default"/>
          <w:lang w:val="zh-CN" w:eastAsia="zh-CN"/>
        </w:rPr>
        <w:t>鼓励有条件的企业</w:t>
      </w:r>
      <w:r>
        <w:rPr>
          <w:rFonts w:hint="default"/>
          <w:lang w:val="en-US" w:eastAsia="zh-CN"/>
        </w:rPr>
        <w:t>开展碳排放统计核算，定期编制温室气体排放清单，推进碳排放权交易，开展产品碳标识认证。</w:t>
      </w:r>
      <w:r>
        <w:rPr>
          <w:rFonts w:hint="default"/>
        </w:rPr>
        <w:t>推进园区、企业绿色化改造，发挥排污许可证</w:t>
      </w:r>
      <w:r>
        <w:rPr>
          <w:rFonts w:hint="eastAsia"/>
          <w:lang w:eastAsia="zh-CN"/>
        </w:rPr>
        <w:t>“</w:t>
      </w:r>
      <w:r>
        <w:rPr>
          <w:rFonts w:hint="default"/>
        </w:rPr>
        <w:t>一证式</w:t>
      </w:r>
      <w:r>
        <w:rPr>
          <w:rFonts w:hint="eastAsia"/>
          <w:lang w:eastAsia="zh-CN"/>
        </w:rPr>
        <w:t>”</w:t>
      </w:r>
      <w:r>
        <w:rPr>
          <w:rFonts w:hint="default"/>
        </w:rPr>
        <w:t>管理作用，推进主要污染物防治与控制温室气体排放融合管理。</w:t>
      </w:r>
      <w:r>
        <w:rPr>
          <w:rFonts w:hint="default"/>
          <w:lang w:val="en-US" w:eastAsia="zh-CN"/>
        </w:rPr>
        <w:t>到2030年，非化石能源消费比重达到18%以上，单位地区生产总值能源消耗和二氧化碳排放持续下降，顺利实现2030年前碳达峰目标。</w:t>
      </w:r>
    </w:p>
    <w:p w14:paraId="7C51A63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黑体" w:hAnsi="黑体" w:eastAsia="黑体" w:cs="黑体"/>
          <w:rtl w:val="0"/>
          <w:lang w:val="en-US" w:eastAsia="zh-CN"/>
        </w:rPr>
      </w:pPr>
      <w:bookmarkStart w:id="243" w:name="_Toc19221"/>
      <w:bookmarkStart w:id="244" w:name="_Toc12439"/>
      <w:r>
        <w:rPr>
          <w:rFonts w:hint="default" w:ascii="黑体" w:hAnsi="黑体" w:eastAsia="黑体" w:cs="黑体"/>
          <w:rtl w:val="0"/>
          <w:lang w:val="en-US" w:eastAsia="zh-CN"/>
        </w:rPr>
        <w:t>二、推进重点领域绿色低碳发展</w:t>
      </w:r>
      <w:bookmarkEnd w:id="243"/>
      <w:bookmarkEnd w:id="244"/>
    </w:p>
    <w:p w14:paraId="497BEB4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rPr>
        <w:t>优化新建建筑节能降碳设计，大力推广超低能耗建筑，加快既有建筑和市政基础设施节能降碳改造，推动超低能耗、低碳建筑规模化发展。大力推进</w:t>
      </w:r>
      <w:r>
        <w:rPr>
          <w:rFonts w:hint="eastAsia"/>
          <w:lang w:eastAsia="zh-CN"/>
        </w:rPr>
        <w:t>“</w:t>
      </w:r>
      <w:r>
        <w:rPr>
          <w:rFonts w:hint="default"/>
        </w:rPr>
        <w:t>公转铁</w:t>
      </w:r>
      <w:r>
        <w:rPr>
          <w:rFonts w:hint="eastAsia"/>
          <w:lang w:eastAsia="zh-CN"/>
        </w:rPr>
        <w:t>”“</w:t>
      </w:r>
      <w:r>
        <w:rPr>
          <w:rFonts w:hint="default"/>
        </w:rPr>
        <w:t>散改集</w:t>
      </w:r>
      <w:r>
        <w:rPr>
          <w:rFonts w:hint="eastAsia"/>
          <w:lang w:eastAsia="zh-CN"/>
        </w:rPr>
        <w:t>”</w:t>
      </w:r>
      <w:r>
        <w:rPr>
          <w:rFonts w:hint="default"/>
        </w:rPr>
        <w:t>，提升大宗货物清洁化运输水平。构建高效集约的绿色流通体系。大力推广新能源汽车，推动城市公共服务车辆</w:t>
      </w:r>
      <w:r>
        <w:rPr>
          <w:rFonts w:hint="default"/>
          <w:lang w:val="en-US" w:eastAsia="zh-CN"/>
        </w:rPr>
        <w:t>新能源</w:t>
      </w:r>
      <w:r>
        <w:rPr>
          <w:rFonts w:hint="default"/>
        </w:rPr>
        <w:t>替代。</w:t>
      </w:r>
      <w:r>
        <w:rPr>
          <w:rFonts w:hint="default"/>
          <w:lang w:val="en-US" w:eastAsia="zh-CN"/>
        </w:rPr>
        <w:t>加大传统产业绿色低碳转型，对水泥、建材等重点用能单位节能降碳改造，推进传统产业工艺、技术、用能设备更新升级。鼓励创建</w:t>
      </w:r>
      <w:r>
        <w:rPr>
          <w:rFonts w:hint="eastAsia"/>
          <w:lang w:val="en-US" w:eastAsia="zh-CN"/>
        </w:rPr>
        <w:t>“</w:t>
      </w:r>
      <w:r>
        <w:rPr>
          <w:rFonts w:hint="default"/>
          <w:lang w:val="en-US" w:eastAsia="zh-CN"/>
        </w:rPr>
        <w:t>零碳工厂</w:t>
      </w:r>
      <w:r>
        <w:rPr>
          <w:rFonts w:hint="eastAsia"/>
          <w:lang w:val="en-US" w:eastAsia="zh-CN"/>
        </w:rPr>
        <w:t>”</w:t>
      </w:r>
      <w:r>
        <w:rPr>
          <w:rFonts w:hint="default"/>
          <w:lang w:val="en-US" w:eastAsia="zh-CN"/>
        </w:rPr>
        <w:t>。</w:t>
      </w:r>
    </w:p>
    <w:p w14:paraId="549986BD">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黑体" w:hAnsi="黑体" w:eastAsia="黑体" w:cs="黑体"/>
          <w:rtl w:val="0"/>
          <w:lang w:val="en-US" w:eastAsia="zh-CN"/>
        </w:rPr>
      </w:pPr>
      <w:bookmarkStart w:id="245" w:name="_Toc4531"/>
      <w:bookmarkStart w:id="246" w:name="_Toc27442"/>
      <w:r>
        <w:rPr>
          <w:rFonts w:hint="default" w:ascii="黑体" w:hAnsi="黑体" w:eastAsia="黑体" w:cs="黑体"/>
          <w:rtl w:val="0"/>
          <w:lang w:val="en-US" w:eastAsia="zh-CN"/>
        </w:rPr>
        <w:t>三、强化资源节约集约利用</w:t>
      </w:r>
      <w:bookmarkEnd w:id="245"/>
      <w:bookmarkEnd w:id="246"/>
    </w:p>
    <w:p w14:paraId="69E53E5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eastAsia="zh-CN"/>
        </w:rPr>
      </w:pPr>
      <w:r>
        <w:rPr>
          <w:rFonts w:hint="default"/>
        </w:rPr>
        <w:t>节约水资源。坚持以水定城、以水定地、以水定人、以水定产，</w:t>
      </w:r>
      <w:r>
        <w:rPr>
          <w:rFonts w:hint="default"/>
          <w:lang w:val="en-US" w:eastAsia="zh-CN"/>
        </w:rPr>
        <w:t>强化用水总量和强度双控</w:t>
      </w:r>
      <w:r>
        <w:rPr>
          <w:rFonts w:hint="default"/>
        </w:rPr>
        <w:t>，</w:t>
      </w:r>
      <w:r>
        <w:rPr>
          <w:rFonts w:hint="default"/>
          <w:lang w:val="en-US" w:eastAsia="zh-CN"/>
        </w:rPr>
        <w:t>提升重点用水行业、产品用水效率，</w:t>
      </w:r>
      <w:r>
        <w:rPr>
          <w:rFonts w:hint="default"/>
        </w:rPr>
        <w:t>加强再生水和非常规水资源利用，落实国家节水行动。节约土地资源。</w:t>
      </w:r>
      <w:r>
        <w:rPr>
          <w:rFonts w:hint="default"/>
          <w:lang w:val="en-US" w:eastAsia="zh-CN"/>
        </w:rPr>
        <w:t>健全节约集约利用土地制度，</w:t>
      </w:r>
      <w:r>
        <w:rPr>
          <w:rFonts w:hint="default"/>
        </w:rPr>
        <w:t>严守永久基本农田，严管城镇开发边界，从严控制非农建设占用耕地，</w:t>
      </w:r>
      <w:r>
        <w:rPr>
          <w:rFonts w:hint="default"/>
          <w:lang w:val="en-US" w:eastAsia="zh-CN"/>
        </w:rPr>
        <w:t>深化</w:t>
      </w:r>
      <w:r>
        <w:rPr>
          <w:rFonts w:hint="eastAsia"/>
          <w:lang w:val="en-US" w:eastAsia="zh-CN"/>
        </w:rPr>
        <w:t>“</w:t>
      </w:r>
      <w:r>
        <w:rPr>
          <w:rFonts w:hint="default"/>
          <w:lang w:val="en-US" w:eastAsia="zh-CN"/>
        </w:rPr>
        <w:t>亩均论英雄</w:t>
      </w:r>
      <w:r>
        <w:rPr>
          <w:rFonts w:hint="eastAsia"/>
          <w:lang w:val="en-US" w:eastAsia="zh-CN"/>
        </w:rPr>
        <w:t>”</w:t>
      </w:r>
      <w:r>
        <w:rPr>
          <w:rFonts w:hint="default"/>
          <w:lang w:val="en-US" w:eastAsia="zh-CN"/>
        </w:rPr>
        <w:t>改革，加大批而未供、供而未用、低效土地、闲置土地清理处置力度。</w:t>
      </w:r>
      <w:r>
        <w:rPr>
          <w:rFonts w:hint="default"/>
        </w:rPr>
        <w:t>落实单位</w:t>
      </w:r>
      <w:r>
        <w:rPr>
          <w:rFonts w:hint="default"/>
          <w:lang w:eastAsia="zh-CN"/>
        </w:rPr>
        <w:t>地区生产总值</w:t>
      </w:r>
      <w:r>
        <w:rPr>
          <w:rFonts w:hint="default"/>
        </w:rPr>
        <w:t>建设用地使用面积下降目标，提高资源供给质量和效率</w:t>
      </w:r>
      <w:r>
        <w:rPr>
          <w:rFonts w:hint="default"/>
          <w:lang w:val="en-US" w:eastAsia="zh-CN"/>
        </w:rPr>
        <w:t>。加强自然资源管理。健全自然资源资产产权制度和用途管制制度，按照</w:t>
      </w:r>
      <w:r>
        <w:rPr>
          <w:rFonts w:hint="eastAsia"/>
          <w:lang w:val="en-US" w:eastAsia="zh-CN"/>
        </w:rPr>
        <w:t>“</w:t>
      </w:r>
      <w:r>
        <w:rPr>
          <w:rFonts w:hint="default"/>
          <w:lang w:val="en-US" w:eastAsia="zh-CN"/>
        </w:rPr>
        <w:t>谁开发谁保护、谁受益谁补偿</w:t>
      </w:r>
      <w:r>
        <w:rPr>
          <w:rFonts w:hint="eastAsia"/>
          <w:lang w:val="en-US" w:eastAsia="zh-CN"/>
        </w:rPr>
        <w:t>”</w:t>
      </w:r>
      <w:r>
        <w:rPr>
          <w:rFonts w:hint="default"/>
          <w:lang w:val="en-US" w:eastAsia="zh-CN"/>
        </w:rPr>
        <w:t>的原则，探索实行资源有偿使用制度。</w:t>
      </w:r>
    </w:p>
    <w:p w14:paraId="20B2561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黑体" w:hAnsi="黑体" w:eastAsia="黑体" w:cs="黑体"/>
          <w:rtl w:val="0"/>
          <w:lang w:val="en-US" w:eastAsia="zh-CN"/>
        </w:rPr>
      </w:pPr>
      <w:bookmarkStart w:id="247" w:name="_Toc3650"/>
      <w:bookmarkStart w:id="248" w:name="_Toc11615"/>
      <w:r>
        <w:rPr>
          <w:rFonts w:hint="eastAsia" w:ascii="黑体" w:hAnsi="黑体" w:eastAsia="黑体" w:cs="黑体"/>
          <w:rtl w:val="0"/>
          <w:lang w:val="en-US" w:eastAsia="zh-CN"/>
        </w:rPr>
        <w:t>四、倡导绿色生产生活方式</w:t>
      </w:r>
      <w:bookmarkEnd w:id="247"/>
      <w:bookmarkEnd w:id="248"/>
    </w:p>
    <w:p w14:paraId="467618E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default"/>
        </w:rPr>
        <w:t>开展生态文明宣传教育，完善政策措施，形成激励和约束机制，引导群众增强节约意识、环保意识和生态意识，引导群众争做生态环境的保护者、建设者。倡导珍惜水、电等资源能源。</w:t>
      </w:r>
      <w:r>
        <w:rPr>
          <w:rFonts w:hint="default"/>
          <w:lang w:val="de-DE" w:eastAsia="de-DE"/>
        </w:rPr>
        <w:t>大力推广节能家电、高效照明产品、节水器具、绿色建材等绿色产品</w:t>
      </w:r>
      <w:r>
        <w:rPr>
          <w:rFonts w:hint="default"/>
          <w:lang w:val="de-DE" w:eastAsia="zh-CN"/>
        </w:rPr>
        <w:t>，</w:t>
      </w:r>
      <w:r>
        <w:rPr>
          <w:rFonts w:hint="default"/>
          <w:lang w:val="de-DE"/>
        </w:rPr>
        <w:t>大力推广节水节电、</w:t>
      </w:r>
      <w:r>
        <w:rPr>
          <w:rFonts w:hint="default"/>
          <w:lang w:val="de-DE" w:eastAsia="zh-CN"/>
        </w:rPr>
        <w:t>废物</w:t>
      </w:r>
      <w:r>
        <w:rPr>
          <w:rFonts w:hint="default"/>
          <w:lang w:val="de-DE"/>
        </w:rPr>
        <w:t>循环利用、再生废品回收等绿色生活方式。</w:t>
      </w:r>
      <w:r>
        <w:rPr>
          <w:rFonts w:hint="default"/>
        </w:rPr>
        <w:t>加快构建绿色低碳交通体系，倡导绿色出行</w:t>
      </w:r>
      <w:r>
        <w:rPr>
          <w:rFonts w:hint="default"/>
          <w:lang w:eastAsia="zh-CN"/>
        </w:rPr>
        <w:t>，</w:t>
      </w:r>
      <w:r>
        <w:rPr>
          <w:rFonts w:hint="default"/>
          <w:lang w:val="en-US" w:eastAsia="zh-CN"/>
        </w:rPr>
        <w:t>鼓励购买</w:t>
      </w:r>
      <w:r>
        <w:rPr>
          <w:rFonts w:hint="default"/>
          <w:lang w:val="de-DE" w:eastAsia="de-DE"/>
        </w:rPr>
        <w:t>新能源汽车</w:t>
      </w:r>
      <w:r>
        <w:rPr>
          <w:rFonts w:hint="default"/>
        </w:rPr>
        <w:t>。倡导使用环保用品，推动塑料产品替代和限制使用。</w:t>
      </w:r>
    </w:p>
    <w:tbl>
      <w:tblPr>
        <w:tblStyle w:val="15"/>
        <w:tblW w:w="0" w:type="auto"/>
        <w:tblInd w:w="2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1"/>
      </w:tblGrid>
      <w:tr w14:paraId="536F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41" w:type="dxa"/>
            <w:noWrap w:val="0"/>
            <w:vAlign w:val="top"/>
          </w:tcPr>
          <w:p w14:paraId="442E822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cs="Times New Roman"/>
                <w:color w:val="auto"/>
                <w:vertAlign w:val="baseline"/>
                <w:lang w:val="en-US" w:eastAsia="zh-CN"/>
              </w:rPr>
            </w:pPr>
            <w:r>
              <w:rPr>
                <w:rFonts w:hint="default" w:ascii="Times New Roman" w:hAnsi="Times New Roman" w:eastAsia="黑体" w:cs="Times New Roman"/>
                <w:b w:val="0"/>
                <w:bCs w:val="0"/>
                <w:color w:val="auto"/>
                <w:sz w:val="28"/>
                <w:szCs w:val="28"/>
                <w:lang w:val="en-US" w:eastAsia="zh-CN"/>
              </w:rPr>
              <w:t>专栏7-</w:t>
            </w:r>
            <w:r>
              <w:rPr>
                <w:rFonts w:hint="eastAsia" w:eastAsia="黑体" w:cs="Times New Roman"/>
                <w:b w:val="0"/>
                <w:bCs w:val="0"/>
                <w:color w:val="auto"/>
                <w:sz w:val="28"/>
                <w:szCs w:val="28"/>
                <w:lang w:val="en-US" w:eastAsia="zh-CN"/>
              </w:rPr>
              <w:t>2</w:t>
            </w:r>
            <w:r>
              <w:rPr>
                <w:rFonts w:hint="default" w:ascii="Times New Roman" w:hAnsi="Times New Roman" w:eastAsia="黑体" w:cs="Times New Roman"/>
                <w:b w:val="0"/>
                <w:bCs w:val="0"/>
                <w:color w:val="auto"/>
                <w:sz w:val="28"/>
                <w:szCs w:val="28"/>
                <w:lang w:val="en-US" w:eastAsia="zh-CN"/>
              </w:rPr>
              <w:t xml:space="preserve">  绿色低碳循环发展工程</w:t>
            </w:r>
          </w:p>
        </w:tc>
      </w:tr>
      <w:tr w14:paraId="6AED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41" w:type="dxa"/>
            <w:noWrap w:val="0"/>
            <w:vAlign w:val="top"/>
          </w:tcPr>
          <w:p w14:paraId="00395BD8">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碳达峰碳中和工程。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推动建立企业温室气体排放信息披露制度，推进主要污染物防治与控制温室气体排放融合管理，</w:t>
            </w:r>
            <w:r>
              <w:rPr>
                <w:rFonts w:hint="default" w:ascii="Times New Roman" w:hAnsi="Times New Roman" w:cs="Times New Roman"/>
                <w:b w:val="0"/>
                <w:bCs w:val="0"/>
                <w:color w:val="auto"/>
                <w:spacing w:val="0"/>
                <w:kern w:val="2"/>
                <w:sz w:val="24"/>
                <w:szCs w:val="24"/>
                <w:vertAlign w:val="baseline"/>
                <w:lang w:val="en-US" w:eastAsia="zh-CN" w:bidi="ar-SA"/>
              </w:rPr>
              <w:t>重点建设新能源公交车更新、江北污水处理厂尾水热能回用、地热能探矿权综合开发利用、汉台区零碳升级改造等项目。</w:t>
            </w:r>
          </w:p>
          <w:p w14:paraId="7B8242B6">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资源集约节约利用工程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重点建设天汉湿地公园雨水收集利用、汉台区全域非常规水利用、城区拆迁闲置资产盘活、武乡老粮站资产盘活等项目。</w:t>
            </w:r>
          </w:p>
          <w:p w14:paraId="06B00638">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color w:val="auto"/>
                <w:vertAlign w:val="baseline"/>
                <w:lang w:val="en-US" w:eastAsia="zh-CN"/>
              </w:rPr>
            </w:pPr>
            <w:r>
              <w:rPr>
                <w:rFonts w:hint="default" w:ascii="Times New Roman" w:hAnsi="Times New Roman" w:eastAsia="仿宋_GB2312" w:cs="Times New Roman"/>
                <w:b/>
                <w:bCs/>
                <w:color w:val="auto"/>
                <w:spacing w:val="0"/>
                <w:kern w:val="2"/>
                <w:sz w:val="24"/>
                <w:szCs w:val="24"/>
                <w:vertAlign w:val="baseline"/>
                <w:lang w:val="en-US" w:eastAsia="zh-CN" w:bidi="ar-SA"/>
              </w:rPr>
              <w:t>绿色低碳循环发展工程。</w:t>
            </w:r>
            <w:r>
              <w:rPr>
                <w:rFonts w:hint="default" w:ascii="Times New Roman" w:hAnsi="Times New Roman" w:cs="Times New Roman"/>
                <w:b w:val="0"/>
                <w:bCs w:val="0"/>
                <w:color w:val="auto"/>
                <w:spacing w:val="0"/>
                <w:kern w:val="2"/>
                <w:sz w:val="24"/>
                <w:szCs w:val="24"/>
                <w:vertAlign w:val="baseline"/>
                <w:lang w:val="en-US" w:eastAsia="zh-CN" w:bidi="ar-SA"/>
              </w:rPr>
              <w:t>重点建设</w:t>
            </w:r>
            <w:r>
              <w:rPr>
                <w:rFonts w:hint="default" w:ascii="Times New Roman" w:hAnsi="Times New Roman" w:eastAsia="仿宋_GB2312" w:cs="Times New Roman"/>
                <w:b w:val="0"/>
                <w:bCs w:val="0"/>
                <w:color w:val="auto"/>
                <w:spacing w:val="0"/>
                <w:kern w:val="2"/>
                <w:sz w:val="24"/>
                <w:szCs w:val="24"/>
                <w:vertAlign w:val="baseline"/>
                <w:lang w:val="en-US" w:eastAsia="zh-CN" w:bidi="ar-SA"/>
              </w:rPr>
              <w:t>汉中市生态循环经济（静脉）产业园</w:t>
            </w:r>
            <w:r>
              <w:rPr>
                <w:rFonts w:hint="default" w:ascii="Times New Roman" w:hAnsi="Times New Roman" w:cs="Times New Roman"/>
                <w:b w:val="0"/>
                <w:bCs w:val="0"/>
                <w:color w:val="auto"/>
                <w:spacing w:val="0"/>
                <w:kern w:val="2"/>
                <w:sz w:val="24"/>
                <w:szCs w:val="24"/>
                <w:vertAlign w:val="baseline"/>
                <w:lang w:val="en-US" w:eastAsia="zh-CN" w:bidi="ar-SA"/>
              </w:rPr>
              <w:t>、陕南有机肥绿色生产循环基地、污泥固废循环利用、有机物再生纤维材料、畜禽粪污资源化利用、农用残膜资源化综合利用、秸秆高值化利用猫砂生产等项目。</w:t>
            </w:r>
          </w:p>
        </w:tc>
      </w:tr>
    </w:tbl>
    <w:p w14:paraId="255E7155">
      <w:pPr>
        <w:jc w:val="center"/>
        <w:rPr>
          <w:rFonts w:hint="eastAsia" w:ascii="黑体" w:hAnsi="黑体" w:eastAsia="黑体" w:cs="黑体"/>
          <w:lang w:val="en-US" w:eastAsia="zh-CN"/>
        </w:rPr>
      </w:pPr>
      <w:bookmarkStart w:id="249" w:name="_Toc11470"/>
      <w:bookmarkStart w:id="250" w:name="_Toc26654"/>
      <w:bookmarkStart w:id="251" w:name="_Toc21089"/>
      <w:bookmarkStart w:id="252" w:name="_Toc5245"/>
      <w:r>
        <w:rPr>
          <w:rFonts w:hint="eastAsia" w:ascii="黑体" w:hAnsi="黑体" w:eastAsia="黑体" w:cs="黑体"/>
          <w:lang w:val="en-US" w:eastAsia="zh-CN"/>
        </w:rPr>
        <w:t>第四节  推动生态产品价值实现</w:t>
      </w:r>
      <w:bookmarkEnd w:id="249"/>
      <w:bookmarkEnd w:id="250"/>
      <w:bookmarkEnd w:id="251"/>
      <w:bookmarkEnd w:id="252"/>
    </w:p>
    <w:p w14:paraId="2F07AC7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黑体" w:hAnsi="黑体" w:eastAsia="黑体" w:cs="黑体"/>
          <w:rtl w:val="0"/>
          <w:lang w:val="en-US" w:eastAsia="zh-CN"/>
        </w:rPr>
      </w:pPr>
      <w:bookmarkStart w:id="253" w:name="_Toc26722"/>
      <w:bookmarkStart w:id="254" w:name="_Toc7772"/>
      <w:r>
        <w:rPr>
          <w:rFonts w:hint="eastAsia" w:ascii="黑体" w:hAnsi="黑体" w:eastAsia="黑体" w:cs="黑体"/>
          <w:rtl w:val="0"/>
          <w:lang w:val="en-US" w:eastAsia="zh-CN"/>
        </w:rPr>
        <w:t>一、多元拓展优质生态产品供给</w:t>
      </w:r>
      <w:bookmarkEnd w:id="253"/>
      <w:bookmarkEnd w:id="254"/>
    </w:p>
    <w:p w14:paraId="47D5A5B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加快自然资源资产统一确权登记，建立生态产品目录清单，引进生态产品市场经营开发主体和专业团队，做优生态旅游、健康养生、体育休闲等融合业态，打造优质生态产品供给基地。积极实施</w:t>
      </w:r>
      <w:r>
        <w:rPr>
          <w:rFonts w:hint="eastAsia"/>
          <w:lang w:val="en-US" w:eastAsia="zh-CN"/>
        </w:rPr>
        <w:t>“</w:t>
      </w:r>
      <w:r>
        <w:rPr>
          <w:rFonts w:hint="default"/>
          <w:lang w:val="en-US" w:eastAsia="zh-CN"/>
        </w:rPr>
        <w:t>生态+</w:t>
      </w:r>
      <w:r>
        <w:rPr>
          <w:rFonts w:hint="eastAsia"/>
          <w:lang w:val="en-US" w:eastAsia="zh-CN"/>
        </w:rPr>
        <w:t>”</w:t>
      </w:r>
      <w:r>
        <w:rPr>
          <w:rFonts w:hint="default"/>
          <w:lang w:val="en-US" w:eastAsia="zh-CN"/>
        </w:rPr>
        <w:t>，</w:t>
      </w:r>
      <w:r>
        <w:rPr>
          <w:rFonts w:hint="default"/>
        </w:rPr>
        <w:t>包装谋划生态环保、</w:t>
      </w:r>
      <w:r>
        <w:rPr>
          <w:rFonts w:hint="default"/>
          <w:lang w:eastAsia="zh-CN"/>
        </w:rPr>
        <w:t>都市农业</w:t>
      </w:r>
      <w:r>
        <w:rPr>
          <w:rFonts w:hint="default"/>
        </w:rPr>
        <w:t>、乡村旅游等绿色经济项目，</w:t>
      </w:r>
      <w:r>
        <w:rPr>
          <w:rFonts w:hint="default"/>
          <w:lang w:val="en-US" w:eastAsia="zh-CN"/>
        </w:rPr>
        <w:t>通过</w:t>
      </w:r>
      <w:r>
        <w:rPr>
          <w:rFonts w:hint="eastAsia"/>
          <w:lang w:val="en-US" w:eastAsia="zh-CN"/>
        </w:rPr>
        <w:t>“</w:t>
      </w:r>
      <w:r>
        <w:rPr>
          <w:rFonts w:hint="default"/>
          <w:lang w:val="en-US" w:eastAsia="zh-CN"/>
        </w:rPr>
        <w:t>生态+市场</w:t>
      </w:r>
      <w:r>
        <w:rPr>
          <w:rFonts w:hint="eastAsia"/>
          <w:lang w:val="en-US" w:eastAsia="zh-CN"/>
        </w:rPr>
        <w:t>”“</w:t>
      </w:r>
      <w:r>
        <w:rPr>
          <w:rFonts w:hint="default"/>
          <w:lang w:val="en-US" w:eastAsia="zh-CN"/>
        </w:rPr>
        <w:t>生态+旅游</w:t>
      </w:r>
      <w:r>
        <w:rPr>
          <w:rFonts w:hint="eastAsia"/>
          <w:lang w:val="en-US" w:eastAsia="zh-CN"/>
        </w:rPr>
        <w:t>”“</w:t>
      </w:r>
      <w:r>
        <w:rPr>
          <w:rFonts w:hint="default"/>
          <w:lang w:val="en-US" w:eastAsia="zh-CN"/>
        </w:rPr>
        <w:t>生态+数字</w:t>
      </w:r>
      <w:r>
        <w:rPr>
          <w:rFonts w:hint="eastAsia"/>
          <w:lang w:val="en-US" w:eastAsia="zh-CN"/>
        </w:rPr>
        <w:t>”</w:t>
      </w:r>
      <w:r>
        <w:rPr>
          <w:rFonts w:hint="default"/>
          <w:lang w:val="en-US" w:eastAsia="zh-CN"/>
        </w:rPr>
        <w:t>等方式，打通</w:t>
      </w:r>
      <w:r>
        <w:rPr>
          <w:rFonts w:hint="eastAsia"/>
          <w:lang w:val="en-US" w:eastAsia="zh-CN"/>
        </w:rPr>
        <w:t>“</w:t>
      </w:r>
      <w:r>
        <w:rPr>
          <w:rFonts w:hint="default"/>
          <w:lang w:val="en-US" w:eastAsia="zh-CN"/>
        </w:rPr>
        <w:t>绿水青山</w:t>
      </w:r>
      <w:r>
        <w:rPr>
          <w:rFonts w:hint="eastAsia"/>
          <w:lang w:val="en-US" w:eastAsia="zh-CN"/>
        </w:rPr>
        <w:t>”</w:t>
      </w:r>
      <w:r>
        <w:rPr>
          <w:rFonts w:hint="default"/>
          <w:lang w:val="en-US" w:eastAsia="zh-CN"/>
        </w:rPr>
        <w:t>向</w:t>
      </w:r>
      <w:r>
        <w:rPr>
          <w:rFonts w:hint="eastAsia"/>
          <w:lang w:val="en-US" w:eastAsia="zh-CN"/>
        </w:rPr>
        <w:t>“</w:t>
      </w:r>
      <w:r>
        <w:rPr>
          <w:rFonts w:hint="default"/>
          <w:lang w:val="en-US" w:eastAsia="zh-CN"/>
        </w:rPr>
        <w:t>金山银山</w:t>
      </w:r>
      <w:r>
        <w:rPr>
          <w:rFonts w:hint="eastAsia"/>
          <w:lang w:val="en-US" w:eastAsia="zh-CN"/>
        </w:rPr>
        <w:t>”</w:t>
      </w:r>
      <w:r>
        <w:rPr>
          <w:rFonts w:hint="default"/>
          <w:lang w:val="en-US" w:eastAsia="zh-CN"/>
        </w:rPr>
        <w:t>的转化通道。</w:t>
      </w:r>
    </w:p>
    <w:p w14:paraId="70DBA48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黑体" w:hAnsi="黑体" w:eastAsia="黑体" w:cs="黑体"/>
          <w:rtl w:val="0"/>
          <w:lang w:val="en-US" w:eastAsia="zh-CN"/>
        </w:rPr>
      </w:pPr>
      <w:bookmarkStart w:id="255" w:name="_Toc11906"/>
      <w:bookmarkStart w:id="256" w:name="_Toc22747"/>
      <w:r>
        <w:rPr>
          <w:rFonts w:hint="default" w:ascii="黑体" w:hAnsi="黑体" w:eastAsia="黑体" w:cs="黑体"/>
          <w:rtl w:val="0"/>
          <w:lang w:val="en-US" w:eastAsia="zh-CN"/>
        </w:rPr>
        <w:t>二、构建生态产品市场交易体系</w:t>
      </w:r>
      <w:bookmarkEnd w:id="255"/>
      <w:bookmarkEnd w:id="256"/>
    </w:p>
    <w:p w14:paraId="145875D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坚持以生态优先、绿色发展为引领，健全农村产权流转交易服务体系，做好资源资产确权、流转、交易等工作。开展森林碳汇经济核算及资产负债表编制，锚定生态价值（EOD）导向，探索水土保持碳汇交易、生态清洁小流域水土保持生态产品交易、水权交易、环境资源产权有偿使用和交易、滨水经济、林碳经济等生态产品价值转换模式。</w:t>
      </w:r>
    </w:p>
    <w:p w14:paraId="55AA3A5C">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黑体" w:hAnsi="黑体" w:eastAsia="黑体" w:cs="黑体"/>
          <w:rtl w:val="0"/>
          <w:lang w:val="en-US" w:eastAsia="zh-CN"/>
        </w:rPr>
      </w:pPr>
      <w:bookmarkStart w:id="257" w:name="_Toc7733"/>
      <w:bookmarkStart w:id="258" w:name="_Toc22438"/>
      <w:r>
        <w:rPr>
          <w:rFonts w:hint="default" w:ascii="黑体" w:hAnsi="黑体" w:eastAsia="黑体" w:cs="黑体"/>
          <w:rtl w:val="0"/>
          <w:lang w:val="en-US" w:eastAsia="zh-CN"/>
        </w:rPr>
        <w:t>三、健全生态产品补偿机制</w:t>
      </w:r>
      <w:bookmarkEnd w:id="257"/>
      <w:bookmarkEnd w:id="258"/>
    </w:p>
    <w:p w14:paraId="0698C12A">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按照</w:t>
      </w:r>
      <w:r>
        <w:rPr>
          <w:rFonts w:hint="eastAsia"/>
          <w:lang w:val="en-US" w:eastAsia="zh-CN"/>
        </w:rPr>
        <w:t>“</w:t>
      </w:r>
      <w:r>
        <w:rPr>
          <w:rFonts w:hint="default"/>
          <w:lang w:val="en-US" w:eastAsia="zh-CN"/>
        </w:rPr>
        <w:t>谁保护谁受益、谁破坏谁治理</w:t>
      </w:r>
      <w:r>
        <w:rPr>
          <w:rFonts w:hint="eastAsia"/>
          <w:lang w:val="en-US" w:eastAsia="zh-CN"/>
        </w:rPr>
        <w:t>”</w:t>
      </w:r>
      <w:r>
        <w:rPr>
          <w:rFonts w:hint="default"/>
          <w:lang w:val="en-US" w:eastAsia="zh-CN"/>
        </w:rPr>
        <w:t>的原则，通过资金补助、产业转移、人才培训等方式实施补偿。协同开展南水北调中线工程和引汉济渭工程水源涵养区保护工作，探索与收益地建立跨区域碳汇交易、产业共建、人才交流等对口协作模式，积极争取生态补偿横向转移支付。制定水生态产品价值实现目录清单。深化建设占用耕作层剥离再利用机制，实现耕地数量、质量、生态三位一体保护。推进环境污染第三方治理，探索排污权、用能权、用水权、碳排放权市场化交易。</w:t>
      </w:r>
    </w:p>
    <w:tbl>
      <w:tblPr>
        <w:tblStyle w:val="15"/>
        <w:tblW w:w="0" w:type="auto"/>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7"/>
      </w:tblGrid>
      <w:tr w14:paraId="0D6E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567" w:type="dxa"/>
            <w:noWrap w:val="0"/>
            <w:vAlign w:val="top"/>
          </w:tcPr>
          <w:p w14:paraId="338D698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cs="Times New Roman"/>
                <w:color w:val="auto"/>
                <w:vertAlign w:val="baseline"/>
                <w:lang w:val="en-US" w:eastAsia="zh-CN"/>
              </w:rPr>
            </w:pPr>
            <w:r>
              <w:rPr>
                <w:rFonts w:hint="default" w:ascii="Times New Roman" w:hAnsi="Times New Roman" w:eastAsia="黑体" w:cs="Times New Roman"/>
                <w:b w:val="0"/>
                <w:bCs w:val="0"/>
                <w:color w:val="auto"/>
                <w:sz w:val="28"/>
                <w:szCs w:val="28"/>
                <w:lang w:val="en-US" w:eastAsia="zh-CN"/>
              </w:rPr>
              <w:t>专栏7-</w:t>
            </w:r>
            <w:r>
              <w:rPr>
                <w:rFonts w:hint="eastAsia" w:eastAsia="黑体" w:cs="Times New Roman"/>
                <w:b w:val="0"/>
                <w:bCs w:val="0"/>
                <w:color w:val="auto"/>
                <w:sz w:val="28"/>
                <w:szCs w:val="28"/>
                <w:lang w:val="en-US" w:eastAsia="zh-CN"/>
              </w:rPr>
              <w:t>3</w:t>
            </w:r>
            <w:r>
              <w:rPr>
                <w:rFonts w:hint="default" w:ascii="Times New Roman" w:hAnsi="Times New Roman" w:eastAsia="黑体" w:cs="Times New Roman"/>
                <w:b w:val="0"/>
                <w:bCs w:val="0"/>
                <w:color w:val="auto"/>
                <w:sz w:val="28"/>
                <w:szCs w:val="28"/>
                <w:lang w:val="en-US" w:eastAsia="zh-CN"/>
              </w:rPr>
              <w:t xml:space="preserve">  生态产品价值工程</w:t>
            </w:r>
          </w:p>
        </w:tc>
      </w:tr>
      <w:tr w14:paraId="7CF0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8567" w:type="dxa"/>
            <w:noWrap w:val="0"/>
            <w:vAlign w:val="top"/>
          </w:tcPr>
          <w:p w14:paraId="5E8C0DA3">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自然资源调查监测系统建设工程。</w:t>
            </w:r>
            <w:r>
              <w:rPr>
                <w:rFonts w:hint="default" w:ascii="Times New Roman" w:hAnsi="Times New Roman" w:cs="Times New Roman"/>
                <w:b w:val="0"/>
                <w:bCs w:val="0"/>
                <w:color w:val="auto"/>
                <w:spacing w:val="0"/>
                <w:kern w:val="2"/>
                <w:sz w:val="24"/>
                <w:szCs w:val="24"/>
                <w:vertAlign w:val="baseline"/>
                <w:lang w:val="en-US" w:eastAsia="zh-CN" w:bidi="ar-SA"/>
              </w:rPr>
              <w:t>加快自然资源资产统一确权登记，建立汉台区</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一张地板、一个平台、一套数据</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实时动态建设体系，重点建设汉台区自然资源信息数据中心、汉江自然资源调查监测指挥中心等项目。</w:t>
            </w:r>
          </w:p>
          <w:p w14:paraId="2415000D">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cs="Times New Roman"/>
                <w:b/>
                <w:bCs/>
                <w:color w:val="auto"/>
                <w:spacing w:val="0"/>
                <w:kern w:val="2"/>
                <w:sz w:val="24"/>
                <w:szCs w:val="24"/>
                <w:vertAlign w:val="baseline"/>
                <w:lang w:val="en-US" w:eastAsia="zh-CN" w:bidi="ar-SA"/>
              </w:rPr>
              <w:t>生态产品交易体系建设工程。</w:t>
            </w:r>
            <w:r>
              <w:rPr>
                <w:rFonts w:hint="default" w:ascii="Times New Roman" w:hAnsi="Times New Roman" w:cs="Times New Roman"/>
                <w:b w:val="0"/>
                <w:bCs w:val="0"/>
                <w:color w:val="auto"/>
                <w:spacing w:val="0"/>
                <w:kern w:val="2"/>
                <w:sz w:val="24"/>
                <w:szCs w:val="24"/>
                <w:vertAlign w:val="baseline"/>
                <w:lang w:val="en-US" w:eastAsia="zh-CN" w:bidi="ar-SA"/>
              </w:rPr>
              <w:t>重点建设汉江流域水权交易平台、褒河流域综合治理及农文旅融合发展EOD模式、汉台区</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双储林场</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国家储备林等项目。</w:t>
            </w:r>
          </w:p>
        </w:tc>
      </w:tr>
    </w:tbl>
    <w:p w14:paraId="4D159B9B">
      <w:pPr>
        <w:pStyle w:val="2"/>
        <w:ind w:left="0" w:leftChars="0" w:firstLine="0" w:firstLineChars="0"/>
        <w:rPr>
          <w:rFonts w:hint="eastAsia"/>
        </w:rPr>
      </w:pPr>
    </w:p>
    <w:p w14:paraId="61E98B3B">
      <w:pPr>
        <w:pStyle w:val="2"/>
        <w:ind w:left="0" w:leftChars="0" w:firstLine="0" w:firstLineChars="0"/>
        <w:rPr>
          <w:rFonts w:hint="eastAsia"/>
        </w:rPr>
      </w:pPr>
    </w:p>
    <w:p w14:paraId="3157941D">
      <w:pPr>
        <w:pStyle w:val="2"/>
        <w:ind w:left="0" w:leftChars="0" w:firstLine="0" w:firstLineChars="0"/>
        <w:rPr>
          <w:rFonts w:hint="eastAsia"/>
        </w:rPr>
      </w:pPr>
    </w:p>
    <w:p w14:paraId="065538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bookmarkStart w:id="259" w:name="_Toc26555"/>
      <w:r>
        <w:rPr>
          <w:rFonts w:hint="eastAsia" w:ascii="方正小标宋简体" w:hAnsi="方正小标宋简体" w:eastAsia="方正小标宋简体" w:cs="方正小标宋简体"/>
          <w:sz w:val="44"/>
          <w:szCs w:val="44"/>
          <w:lang w:val="en-US" w:eastAsia="zh-CN"/>
        </w:rPr>
        <w:t>第八章  推动文化繁荣发展，</w:t>
      </w:r>
    </w:p>
    <w:p w14:paraId="62209FC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传承创新建设文化强区</w:t>
      </w:r>
      <w:bookmarkEnd w:id="259"/>
    </w:p>
    <w:p w14:paraId="4DEA242B">
      <w:pPr>
        <w:keepNext w:val="0"/>
        <w:keepLines w:val="0"/>
        <w:pageBreakBefore w:val="0"/>
        <w:widowControl w:val="0"/>
        <w:kinsoku/>
        <w:wordWrap/>
        <w:overflowPunct/>
        <w:topLinePunct w:val="0"/>
        <w:autoSpaceDE/>
        <w:autoSpaceDN/>
        <w:bidi w:val="0"/>
        <w:adjustRightInd/>
        <w:snapToGrid/>
        <w:spacing w:line="240" w:lineRule="exact"/>
        <w:ind w:firstLine="632" w:firstLineChars="200"/>
        <w:textAlignment w:val="auto"/>
        <w:rPr>
          <w:rFonts w:hint="eastAsia" w:ascii="仿宋_GB2312" w:hAnsi="仿宋_GB2312" w:eastAsia="仿宋_GB2312" w:cs="仿宋_GB2312"/>
          <w:lang w:val="en-US" w:eastAsia="zh-CN"/>
        </w:rPr>
      </w:pPr>
    </w:p>
    <w:p w14:paraId="46D51A44">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坚定文化自信，发挥文化遗产丰富、历史底蕴深厚的优势，发展具有强大思想引领力、精神凝聚力、价值感召力的新时代中国特色社会主义文化，</w:t>
      </w:r>
      <w:r>
        <w:rPr>
          <w:rFonts w:hint="eastAsia" w:ascii="仿宋_GB2312" w:hAnsi="仿宋_GB2312" w:eastAsia="仿宋_GB2312" w:cs="仿宋_GB2312"/>
        </w:rPr>
        <w:t>推动物质文明和精神文明协调发展，不断激发文化事业创新创造活力，更好满足人民精神文化生活新期待，</w:t>
      </w:r>
      <w:r>
        <w:rPr>
          <w:rFonts w:hint="eastAsia" w:ascii="仿宋_GB2312" w:hAnsi="仿宋_GB2312" w:eastAsia="仿宋_GB2312" w:cs="仿宋_GB2312"/>
          <w:lang w:val="en-US" w:eastAsia="zh-CN"/>
        </w:rPr>
        <w:t>扎实推进</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文化强区</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建设，不断提高城市影响力。</w:t>
      </w:r>
    </w:p>
    <w:p w14:paraId="4FFDAC21">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lang w:val="en-US" w:eastAsia="zh-CN"/>
        </w:rPr>
      </w:pPr>
      <w:bookmarkStart w:id="260" w:name="_Toc11085"/>
      <w:bookmarkStart w:id="261" w:name="_Toc21757"/>
      <w:bookmarkStart w:id="262" w:name="_Toc16373"/>
      <w:r>
        <w:rPr>
          <w:rFonts w:hint="eastAsia" w:ascii="黑体" w:hAnsi="黑体" w:eastAsia="黑体" w:cs="黑体"/>
          <w:lang w:val="en-US" w:eastAsia="zh-CN"/>
        </w:rPr>
        <w:t>第一节  弘扬和践行社会主义核心价值观</w:t>
      </w:r>
      <w:bookmarkEnd w:id="260"/>
      <w:bookmarkEnd w:id="261"/>
      <w:bookmarkEnd w:id="262"/>
    </w:p>
    <w:p w14:paraId="74A8887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仿宋_GB2312" w:hAnsi="仿宋_GB2312" w:eastAsia="仿宋_GB2312" w:cs="仿宋_GB2312"/>
        </w:rPr>
      </w:pPr>
      <w:r>
        <w:rPr>
          <w:rFonts w:hint="eastAsia" w:ascii="楷体_GB2312" w:hAnsi="楷体_GB2312" w:eastAsia="楷体_GB2312" w:cs="楷体_GB2312"/>
          <w:lang w:val="en-US" w:eastAsia="zh-CN"/>
        </w:rPr>
        <w:t>深化党的创新理论学习和宣传教育。</w:t>
      </w:r>
      <w:r>
        <w:rPr>
          <w:rFonts w:hint="eastAsia" w:ascii="仿宋_GB2312" w:hAnsi="仿宋_GB2312" w:eastAsia="仿宋_GB2312" w:cs="仿宋_GB2312"/>
          <w:lang w:val="en-US" w:eastAsia="zh-CN"/>
        </w:rPr>
        <w:t>坚持不懈用</w:t>
      </w:r>
      <w:r>
        <w:rPr>
          <w:rFonts w:hint="eastAsia" w:ascii="仿宋_GB2312" w:hAnsi="仿宋_GB2312" w:eastAsia="仿宋_GB2312" w:cs="仿宋_GB2312"/>
        </w:rPr>
        <w:t>习近平新时代中国特色社会主义思想</w:t>
      </w:r>
      <w:r>
        <w:rPr>
          <w:rFonts w:hint="eastAsia" w:ascii="仿宋_GB2312" w:hAnsi="仿宋_GB2312" w:eastAsia="仿宋_GB2312" w:cs="仿宋_GB2312"/>
          <w:lang w:val="en-US" w:eastAsia="zh-CN"/>
        </w:rPr>
        <w:t>凝心铸魂。以社会主义核心价值观引领文化建设，发挥文化养心志、育情操的作用，</w:t>
      </w:r>
      <w:r>
        <w:rPr>
          <w:rFonts w:hint="eastAsia" w:ascii="仿宋_GB2312" w:hAnsi="仿宋_GB2312" w:eastAsia="仿宋_GB2312" w:cs="仿宋_GB2312"/>
        </w:rPr>
        <w:t>充分运用各类媒体、文艺作品、公益广告和群众性文化活动，广泛开展理想信念教育</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涵养全体人民昂扬奋发的精神气质，弘扬诚信文化、廉洁文化。</w:t>
      </w:r>
      <w:r>
        <w:rPr>
          <w:rFonts w:hint="eastAsia" w:ascii="仿宋_GB2312" w:hAnsi="仿宋_GB2312" w:eastAsia="仿宋_GB2312" w:cs="仿宋_GB2312"/>
        </w:rPr>
        <w:t>加强爱国主义、集体主义、社会主义教育，弘扬党和人民在各个历史时期奋斗中形成的伟大精神</w:t>
      </w:r>
      <w:r>
        <w:rPr>
          <w:rFonts w:hint="eastAsia" w:ascii="仿宋_GB2312" w:hAnsi="仿宋_GB2312" w:eastAsia="仿宋_GB2312" w:cs="仿宋_GB2312"/>
          <w:lang w:val="en-US" w:eastAsia="zh-CN"/>
        </w:rPr>
        <w:t>。</w:t>
      </w:r>
      <w:r>
        <w:rPr>
          <w:rFonts w:hint="eastAsia" w:ascii="仿宋_GB2312" w:hAnsi="仿宋_GB2312" w:eastAsia="仿宋_GB2312" w:cs="仿宋_GB2312"/>
        </w:rPr>
        <w:t>强化实践养成，注重典型示范，开展文化培育，把社会主义核心价值观融入法治建设，更</w:t>
      </w:r>
      <w:r>
        <w:rPr>
          <w:rFonts w:hint="eastAsia" w:ascii="仿宋_GB2312" w:hAnsi="仿宋_GB2312" w:eastAsia="仿宋_GB2312" w:cs="仿宋_GB2312"/>
          <w:lang w:eastAsia="zh-CN"/>
        </w:rPr>
        <w:t>好地</w:t>
      </w:r>
      <w:r>
        <w:rPr>
          <w:rFonts w:hint="eastAsia" w:ascii="仿宋_GB2312" w:hAnsi="仿宋_GB2312" w:eastAsia="仿宋_GB2312" w:cs="仿宋_GB2312"/>
        </w:rPr>
        <w:t>运用法治手段维护社会公共价值，不断增强群众的思想认同、价值认同和情感认同，让正确的价值观在社会蔚然成风。</w:t>
      </w:r>
    </w:p>
    <w:p w14:paraId="5866FF64">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仿宋_GB2312" w:hAnsi="仿宋_GB2312" w:eastAsia="仿宋_GB2312" w:cs="仿宋_GB2312"/>
        </w:rPr>
      </w:pPr>
      <w:r>
        <w:rPr>
          <w:rFonts w:hint="eastAsia" w:ascii="楷体_GB2312" w:hAnsi="楷体_GB2312" w:eastAsia="楷体_GB2312" w:cs="楷体_GB2312"/>
          <w:lang w:val="en-US" w:eastAsia="zh-CN"/>
        </w:rPr>
        <w:t>加强新时代公民道德建设。</w:t>
      </w:r>
      <w:r>
        <w:rPr>
          <w:rFonts w:hint="eastAsia" w:ascii="仿宋_GB2312" w:hAnsi="仿宋_GB2312" w:eastAsia="仿宋_GB2312" w:cs="仿宋_GB2312"/>
        </w:rPr>
        <w:t>推进社会公德、职业道德、家庭美德、个人品德建设，开展</w:t>
      </w:r>
      <w:r>
        <w:rPr>
          <w:rFonts w:hint="eastAsia" w:ascii="仿宋_GB2312" w:hAnsi="仿宋_GB2312" w:cs="仿宋_GB2312"/>
          <w:lang w:eastAsia="zh-CN"/>
        </w:rPr>
        <w:t>“</w:t>
      </w:r>
      <w:r>
        <w:rPr>
          <w:rFonts w:hint="eastAsia" w:ascii="仿宋_GB2312" w:hAnsi="仿宋_GB2312" w:eastAsia="仿宋_GB2312" w:cs="仿宋_GB2312"/>
        </w:rPr>
        <w:t>道德模范</w:t>
      </w:r>
      <w:r>
        <w:rPr>
          <w:rFonts w:hint="eastAsia" w:ascii="仿宋_GB2312" w:hAnsi="仿宋_GB2312" w:cs="仿宋_GB2312"/>
          <w:lang w:eastAsia="zh-CN"/>
        </w:rPr>
        <w:t>”</w:t>
      </w:r>
      <w:r>
        <w:rPr>
          <w:rFonts w:hint="eastAsia" w:ascii="仿宋_GB2312" w:hAnsi="仿宋_GB2312" w:eastAsia="仿宋_GB2312" w:cs="仿宋_GB2312"/>
        </w:rPr>
        <w:t>评选活动，广泛宣传道德模范先进事迹，通过</w:t>
      </w:r>
      <w:r>
        <w:rPr>
          <w:rFonts w:hint="eastAsia" w:ascii="仿宋_GB2312" w:hAnsi="仿宋_GB2312" w:cs="仿宋_GB2312"/>
          <w:lang w:eastAsia="zh-CN"/>
        </w:rPr>
        <w:t>“</w:t>
      </w:r>
      <w:r>
        <w:rPr>
          <w:rFonts w:hint="eastAsia" w:ascii="仿宋_GB2312" w:hAnsi="仿宋_GB2312" w:eastAsia="仿宋_GB2312" w:cs="仿宋_GB2312"/>
        </w:rPr>
        <w:t>身边好人</w:t>
      </w:r>
      <w:r>
        <w:rPr>
          <w:rFonts w:hint="eastAsia" w:ascii="仿宋_GB2312" w:hAnsi="仿宋_GB2312" w:cs="仿宋_GB2312"/>
          <w:lang w:eastAsia="zh-CN"/>
        </w:rPr>
        <w:t>”</w:t>
      </w:r>
      <w:r>
        <w:rPr>
          <w:rFonts w:hint="eastAsia" w:ascii="仿宋_GB2312" w:hAnsi="仿宋_GB2312" w:eastAsia="仿宋_GB2312" w:cs="仿宋_GB2312"/>
        </w:rPr>
        <w:t>示范引领，使</w:t>
      </w:r>
      <w:r>
        <w:rPr>
          <w:rFonts w:hint="eastAsia" w:ascii="仿宋_GB2312" w:hAnsi="仿宋_GB2312" w:cs="仿宋_GB2312"/>
          <w:lang w:eastAsia="zh-CN"/>
        </w:rPr>
        <w:t>“</w:t>
      </w:r>
      <w:r>
        <w:rPr>
          <w:rFonts w:hint="eastAsia" w:ascii="仿宋_GB2312" w:hAnsi="仿宋_GB2312" w:eastAsia="仿宋_GB2312" w:cs="仿宋_GB2312"/>
        </w:rPr>
        <w:t>争做好人</w:t>
      </w:r>
      <w:r>
        <w:rPr>
          <w:rFonts w:hint="eastAsia" w:ascii="仿宋_GB2312" w:hAnsi="仿宋_GB2312" w:cs="仿宋_GB2312"/>
          <w:lang w:eastAsia="zh-CN"/>
        </w:rPr>
        <w:t>”</w:t>
      </w:r>
      <w:r>
        <w:rPr>
          <w:rFonts w:hint="eastAsia" w:ascii="仿宋_GB2312" w:hAnsi="仿宋_GB2312" w:eastAsia="仿宋_GB2312" w:cs="仿宋_GB2312"/>
        </w:rPr>
        <w:t>成为广大群众的自觉行动。</w:t>
      </w:r>
      <w:r>
        <w:rPr>
          <w:rFonts w:hint="eastAsia" w:ascii="仿宋_GB2312" w:hAnsi="仿宋_GB2312" w:eastAsia="仿宋_GB2312" w:cs="仿宋_GB2312"/>
          <w:lang w:val="en-US" w:eastAsia="zh-CN"/>
        </w:rPr>
        <w:t>加强中小学校思想政治教育、国情教育，加强青少年理想信念教育。</w:t>
      </w:r>
      <w:r>
        <w:rPr>
          <w:rFonts w:hint="eastAsia" w:ascii="仿宋_GB2312" w:hAnsi="仿宋_GB2312" w:eastAsia="仿宋_GB2312" w:cs="仿宋_GB2312"/>
        </w:rPr>
        <w:t>引导群众爱党爱国、向上向善、孝老爱亲、重义守信、勤俭持家。强化公民的社会责任、规则意识、集体意识、主人翁意识，完善守信联合激励和失信联合惩戒联动机制，推进公民个人诚信成果在各领域应用。</w:t>
      </w:r>
    </w:p>
    <w:p w14:paraId="2685472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仿宋_GB2312" w:hAnsi="仿宋_GB2312" w:eastAsia="仿宋_GB2312" w:cs="仿宋_GB2312"/>
        </w:rPr>
      </w:pPr>
      <w:r>
        <w:rPr>
          <w:rFonts w:hint="eastAsia" w:ascii="楷体_GB2312" w:hAnsi="楷体_GB2312" w:eastAsia="楷体_GB2312" w:cs="楷体_GB2312"/>
          <w:lang w:val="en-US" w:eastAsia="zh-CN"/>
        </w:rPr>
        <w:t>提升人民文明素养和社会文明程度。</w:t>
      </w:r>
      <w:r>
        <w:rPr>
          <w:rFonts w:hint="eastAsia" w:ascii="仿宋_GB2312" w:hAnsi="仿宋_GB2312" w:eastAsia="仿宋_GB2312" w:cs="仿宋_GB2312"/>
          <w:lang w:val="en-US" w:eastAsia="zh-CN"/>
        </w:rPr>
        <w:t>深入开展群众性精神文明创建活动，提倡艰苦奋斗、勤俭节约，积极开展</w:t>
      </w:r>
      <w:r>
        <w:rPr>
          <w:rFonts w:hint="eastAsia" w:ascii="仿宋_GB2312" w:hAnsi="仿宋_GB2312" w:cs="仿宋_GB2312"/>
          <w:lang w:val="en-US" w:eastAsia="zh-CN"/>
        </w:rPr>
        <w:t>“</w:t>
      </w:r>
      <w:r>
        <w:rPr>
          <w:rFonts w:hint="eastAsia" w:ascii="仿宋_GB2312" w:hAnsi="仿宋_GB2312" w:eastAsia="仿宋_GB2312" w:cs="仿宋_GB2312"/>
        </w:rPr>
        <w:t>讲文明、除陋习、倡新风</w:t>
      </w:r>
      <w:r>
        <w:rPr>
          <w:rFonts w:hint="eastAsia" w:ascii="仿宋_GB2312" w:hAnsi="仿宋_GB2312" w:cs="仿宋_GB2312"/>
          <w:lang w:eastAsia="zh-CN"/>
        </w:rPr>
        <w:t>”</w:t>
      </w:r>
      <w:r>
        <w:rPr>
          <w:rFonts w:hint="eastAsia" w:ascii="仿宋_GB2312" w:hAnsi="仿宋_GB2312" w:eastAsia="仿宋_GB2312" w:cs="仿宋_GB2312"/>
        </w:rPr>
        <w:t>等移风易俗行动，引导群众自觉抵制婚丧大操大办、高额彩礼、薄养厚葬、人情攀比等陈规陋习。利用春节、清明、端午、中秋等重要传统节日，开展群众喜闻乐见的民俗文化娱乐活动，弘扬</w:t>
      </w:r>
      <w:r>
        <w:rPr>
          <w:rFonts w:hint="eastAsia" w:ascii="仿宋_GB2312" w:hAnsi="仿宋_GB2312" w:eastAsia="仿宋_GB2312" w:cs="仿宋_GB2312"/>
          <w:lang w:eastAsia="zh-CN"/>
        </w:rPr>
        <w:t>中华优秀传统文化</w:t>
      </w:r>
      <w:r>
        <w:rPr>
          <w:rFonts w:hint="eastAsia" w:ascii="仿宋_GB2312" w:hAnsi="仿宋_GB2312" w:eastAsia="仿宋_GB2312" w:cs="仿宋_GB2312"/>
        </w:rPr>
        <w:t>。</w:t>
      </w:r>
      <w:r>
        <w:rPr>
          <w:rFonts w:hint="eastAsia" w:ascii="仿宋_GB2312" w:hAnsi="仿宋_GB2312" w:eastAsia="仿宋_GB2312" w:cs="仿宋_GB2312"/>
          <w:lang w:val="en-US" w:eastAsia="zh-CN"/>
        </w:rPr>
        <w:t>积极推进汉文化宣传进校园、进社区。</w:t>
      </w:r>
      <w:r>
        <w:rPr>
          <w:rFonts w:hint="eastAsia" w:ascii="仿宋_GB2312" w:hAnsi="仿宋_GB2312" w:eastAsia="仿宋_GB2312" w:cs="仿宋_GB2312"/>
        </w:rPr>
        <w:t>开展文明村镇（街道）、文明家庭</w:t>
      </w:r>
      <w:r>
        <w:rPr>
          <w:rFonts w:hint="eastAsia" w:ascii="仿宋_GB2312" w:hAnsi="仿宋_GB2312" w:eastAsia="仿宋_GB2312" w:cs="仿宋_GB2312"/>
          <w:lang w:eastAsia="zh-CN"/>
        </w:rPr>
        <w:t>、</w:t>
      </w:r>
      <w:r>
        <w:rPr>
          <w:rFonts w:hint="eastAsia" w:ascii="仿宋_GB2312" w:hAnsi="仿宋_GB2312" w:eastAsia="仿宋_GB2312" w:cs="仿宋_GB2312"/>
        </w:rPr>
        <w:t>文明户创建评选活动，加强家庭、家教、家风建设。</w:t>
      </w:r>
    </w:p>
    <w:tbl>
      <w:tblPr>
        <w:tblStyle w:val="15"/>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1"/>
      </w:tblGrid>
      <w:tr w14:paraId="6233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1" w:type="dxa"/>
            <w:noWrap w:val="0"/>
            <w:vAlign w:val="top"/>
          </w:tcPr>
          <w:p w14:paraId="184E2F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专栏8-1  精神文明建设工程</w:t>
            </w:r>
          </w:p>
        </w:tc>
      </w:tr>
      <w:tr w14:paraId="0616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1" w:type="dxa"/>
            <w:noWrap w:val="0"/>
            <w:vAlign w:val="top"/>
          </w:tcPr>
          <w:p w14:paraId="4BB8DA60">
            <w:pPr>
              <w:keepNext w:val="0"/>
              <w:keepLines w:val="0"/>
              <w:pageBreakBefore w:val="0"/>
              <w:widowControl w:val="0"/>
              <w:kinsoku/>
              <w:wordWrap/>
              <w:overflowPunct/>
              <w:topLinePunct w:val="0"/>
              <w:autoSpaceDE/>
              <w:autoSpaceDN/>
              <w:bidi w:val="0"/>
              <w:adjustRightInd w:val="0"/>
              <w:snapToGrid w:val="0"/>
              <w:spacing w:line="38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cs="Times New Roman"/>
                <w:b w:val="0"/>
                <w:bCs w:val="0"/>
                <w:color w:val="auto"/>
                <w:spacing w:val="0"/>
                <w:kern w:val="2"/>
                <w:sz w:val="24"/>
                <w:szCs w:val="24"/>
                <w:vertAlign w:val="baseline"/>
                <w:lang w:val="en-US" w:eastAsia="zh-CN" w:bidi="ar-SA"/>
              </w:rPr>
              <w:t>重点建设青少年爱国主义宣教馆、退役军人荣誉陈列馆、</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汉中舰</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爱国主义教育基地、</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国防尖兵·时代新人</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军训拓展基地、</w:t>
            </w:r>
            <w:r>
              <w:rPr>
                <w:rFonts w:hint="default" w:ascii="Times New Roman" w:hAnsi="Times New Roman" w:eastAsia="仿宋_GB2312" w:cs="Times New Roman"/>
                <w:b w:val="0"/>
                <w:bCs w:val="0"/>
                <w:color w:val="auto"/>
                <w:spacing w:val="0"/>
                <w:kern w:val="2"/>
                <w:sz w:val="24"/>
                <w:szCs w:val="24"/>
                <w:vertAlign w:val="baseline"/>
                <w:lang w:val="en-US" w:eastAsia="zh-CN" w:bidi="ar-SA"/>
              </w:rPr>
              <w:t>青少年汉文化国际传播中心</w:t>
            </w:r>
            <w:r>
              <w:rPr>
                <w:rFonts w:hint="default" w:ascii="Times New Roman" w:hAnsi="Times New Roman" w:cs="Times New Roman"/>
                <w:b w:val="0"/>
                <w:bCs w:val="0"/>
                <w:color w:val="auto"/>
                <w:spacing w:val="0"/>
                <w:kern w:val="2"/>
                <w:sz w:val="24"/>
                <w:szCs w:val="24"/>
                <w:vertAlign w:val="baseline"/>
                <w:lang w:val="en-US" w:eastAsia="zh-CN" w:bidi="ar-SA"/>
              </w:rPr>
              <w:t>、青年友好型社区等项目。</w:t>
            </w:r>
          </w:p>
        </w:tc>
      </w:tr>
    </w:tbl>
    <w:p w14:paraId="29E9706D">
      <w:pPr>
        <w:jc w:val="center"/>
        <w:rPr>
          <w:rFonts w:hint="eastAsia" w:ascii="黑体" w:hAnsi="黑体" w:eastAsia="黑体" w:cs="黑体"/>
          <w:lang w:val="en-US" w:eastAsia="zh-CN"/>
        </w:rPr>
      </w:pPr>
      <w:bookmarkStart w:id="263" w:name="_Toc4007"/>
      <w:bookmarkStart w:id="264" w:name="_Toc32675"/>
      <w:bookmarkStart w:id="265" w:name="_Toc2559"/>
      <w:r>
        <w:rPr>
          <w:rFonts w:hint="eastAsia" w:ascii="黑体" w:hAnsi="黑体" w:eastAsia="黑体" w:cs="黑体"/>
          <w:lang w:val="en-US" w:eastAsia="zh-CN"/>
        </w:rPr>
        <w:t>第二节  保护利用文化遗产</w:t>
      </w:r>
      <w:bookmarkEnd w:id="263"/>
      <w:bookmarkEnd w:id="264"/>
      <w:bookmarkEnd w:id="265"/>
    </w:p>
    <w:p w14:paraId="4E930E92">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lang w:val="en-US" w:eastAsia="zh-CN"/>
        </w:rPr>
      </w:pPr>
      <w:r>
        <w:rPr>
          <w:rFonts w:hint="eastAsia" w:ascii="楷体_GB2312" w:hAnsi="楷体_GB2312" w:eastAsia="楷体_GB2312" w:cs="楷体_GB2312"/>
          <w:lang w:val="en-US" w:eastAsia="zh-CN"/>
        </w:rPr>
        <w:t>加强历史文化遗产保护。</w:t>
      </w:r>
      <w:r>
        <w:rPr>
          <w:rFonts w:hint="default"/>
          <w:lang w:val="en-US" w:eastAsia="zh-CN"/>
        </w:rPr>
        <w:t>健全文物保护三级责任体系，深入开展文物资源摸底调查，高标准做好文物修复，保护好</w:t>
      </w:r>
      <w:r>
        <w:rPr>
          <w:rFonts w:hint="default"/>
        </w:rPr>
        <w:t>古汉台、拜将坛、饮马池、天台山</w:t>
      </w:r>
      <w:r>
        <w:rPr>
          <w:rFonts w:hint="default"/>
          <w:lang w:val="en-US" w:eastAsia="zh-CN"/>
        </w:rPr>
        <w:t>古</w:t>
      </w:r>
      <w:r>
        <w:rPr>
          <w:rFonts w:hint="default"/>
        </w:rPr>
        <w:t>建筑群、山河堰遗址、汉中城墙遗址</w:t>
      </w:r>
      <w:r>
        <w:rPr>
          <w:rFonts w:hint="default"/>
          <w:lang w:eastAsia="zh-CN"/>
        </w:rPr>
        <w:t>、</w:t>
      </w:r>
      <w:r>
        <w:rPr>
          <w:rFonts w:hint="default"/>
          <w:lang w:val="en-US" w:eastAsia="zh-CN"/>
        </w:rPr>
        <w:t>东塔</w:t>
      </w:r>
      <w:r>
        <w:rPr>
          <w:rFonts w:hint="default"/>
        </w:rPr>
        <w:t>等文物遗产</w:t>
      </w:r>
      <w:r>
        <w:rPr>
          <w:rFonts w:hint="default"/>
          <w:lang w:val="en-US" w:eastAsia="zh-CN"/>
        </w:rPr>
        <w:t>遗存，确保文物本体安全</w:t>
      </w:r>
      <w:r>
        <w:rPr>
          <w:rFonts w:hint="default"/>
        </w:rPr>
        <w:t>。</w:t>
      </w:r>
      <w:r>
        <w:rPr>
          <w:rFonts w:hint="default"/>
          <w:lang w:val="en-US" w:eastAsia="zh-CN"/>
        </w:rPr>
        <w:t>更好发挥博物馆保护、传承、研究、展示人民文明的重要作用，做好文物遗产保护性开发，加强石门十三品等文物活化展示，让汉文化瑰宝永续留存、泽惠后人。</w:t>
      </w:r>
      <w:r>
        <w:rPr>
          <w:rFonts w:hint="default"/>
        </w:rPr>
        <w:t>加强传统村落、传统民居、文物古迹、农业遗迹、灌溉工程遗产等保护与开发。弘扬革命文化，挖掘保护红色资源，讲好红色故事，守住红色根脉。加强对</w:t>
      </w:r>
      <w:r>
        <w:rPr>
          <w:rFonts w:hint="eastAsia"/>
          <w:lang w:eastAsia="zh-CN"/>
        </w:rPr>
        <w:t>“</w:t>
      </w:r>
      <w:r>
        <w:rPr>
          <w:rFonts w:hint="default"/>
        </w:rPr>
        <w:t>汉家发祥地</w:t>
      </w:r>
      <w:r>
        <w:rPr>
          <w:rFonts w:hint="eastAsia"/>
          <w:lang w:eastAsia="zh-CN"/>
        </w:rPr>
        <w:t>”“</w:t>
      </w:r>
      <w:r>
        <w:rPr>
          <w:rFonts w:hint="default"/>
        </w:rPr>
        <w:t>石门十三品</w:t>
      </w:r>
      <w:r>
        <w:rPr>
          <w:rFonts w:hint="eastAsia"/>
          <w:lang w:eastAsia="zh-CN"/>
        </w:rPr>
        <w:t>”“</w:t>
      </w:r>
      <w:r>
        <w:rPr>
          <w:rFonts w:hint="default"/>
        </w:rPr>
        <w:t>两汉三国</w:t>
      </w:r>
      <w:r>
        <w:rPr>
          <w:rFonts w:hint="eastAsia"/>
          <w:lang w:eastAsia="zh-CN"/>
        </w:rPr>
        <w:t>”</w:t>
      </w:r>
      <w:r>
        <w:rPr>
          <w:rFonts w:hint="default"/>
        </w:rPr>
        <w:t>等汉文化研究推广，打造栈道之乡、褒姒故里、汉人老家等文化品牌，厚植汉台人文历史。</w:t>
      </w:r>
      <w:r>
        <w:rPr>
          <w:rFonts w:hint="default"/>
          <w:lang w:val="en-US" w:eastAsia="zh-CN"/>
        </w:rPr>
        <w:t>传承红色基因，把抗战迁陕精神、西迁精神代代传承。</w:t>
      </w:r>
    </w:p>
    <w:p w14:paraId="3007EEB2">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rPr>
      </w:pPr>
      <w:r>
        <w:rPr>
          <w:rFonts w:hint="eastAsia" w:ascii="楷体_GB2312" w:hAnsi="楷体_GB2312" w:eastAsia="楷体_GB2312" w:cs="楷体_GB2312"/>
          <w:lang w:val="en-US" w:eastAsia="zh-CN"/>
        </w:rPr>
        <w:t>保护传承非物质文化遗产。</w:t>
      </w:r>
      <w:r>
        <w:rPr>
          <w:rFonts w:hint="default"/>
          <w:lang w:val="en-US" w:eastAsia="zh-CN"/>
        </w:rPr>
        <w:t>健全非物质文化遗产四级名录保护体系，</w:t>
      </w:r>
      <w:r>
        <w:rPr>
          <w:rFonts w:hint="default"/>
        </w:rPr>
        <w:t>发掘整理传统民俗和传统工艺，加强非遗调查记录和研究阐释，实施非遗名录体系建设、传承人群研修培训、濒危项目抢救、传统工艺振兴等计划</w:t>
      </w:r>
      <w:r>
        <w:rPr>
          <w:rFonts w:hint="default"/>
          <w:lang w:eastAsia="zh-CN"/>
        </w:rPr>
        <w:t>，</w:t>
      </w:r>
      <w:r>
        <w:rPr>
          <w:rFonts w:hint="default"/>
          <w:lang w:val="en-US" w:eastAsia="zh-CN"/>
        </w:rPr>
        <w:t>做好龙舞、拓片等非遗文化创造性转化、创新性发展、群众性传承，</w:t>
      </w:r>
      <w:r>
        <w:rPr>
          <w:rFonts w:hint="default"/>
        </w:rPr>
        <w:t>打造一批非物质文化遗产知名品牌。支持设立非遗教学实践基地，积极创建国家级非遗生产性保护示范基地。</w:t>
      </w:r>
    </w:p>
    <w:p w14:paraId="606C108D">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lang w:val="en-US" w:eastAsia="zh-CN"/>
        </w:rPr>
      </w:pPr>
      <w:r>
        <w:rPr>
          <w:rFonts w:hint="default" w:ascii="楷体_GB2312" w:hAnsi="楷体_GB2312" w:eastAsia="楷体_GB2312" w:cs="楷体_GB2312"/>
          <w:lang w:val="en-US" w:eastAsia="zh-CN"/>
        </w:rPr>
        <w:t>激发非遗传承经济潜力。</w:t>
      </w:r>
      <w:r>
        <w:rPr>
          <w:rFonts w:hint="default"/>
          <w:lang w:val="en-US" w:eastAsia="zh-CN"/>
        </w:rPr>
        <w:t>实施非遗活态保护利用行动，推动龙舞、传统弓箭等本土非遗活态传承。通过系统保护项目、培养传承人、强化青少年实践等途径，完善非遗代际传承链条。创新</w:t>
      </w:r>
      <w:r>
        <w:rPr>
          <w:rFonts w:hint="eastAsia"/>
          <w:lang w:val="en-US" w:eastAsia="zh-CN"/>
        </w:rPr>
        <w:t>“</w:t>
      </w:r>
      <w:r>
        <w:rPr>
          <w:rFonts w:hint="default"/>
          <w:lang w:val="en-US" w:eastAsia="zh-CN"/>
        </w:rPr>
        <w:t>非遗+旅游</w:t>
      </w:r>
      <w:r>
        <w:rPr>
          <w:rFonts w:hint="eastAsia"/>
          <w:lang w:val="en-US" w:eastAsia="zh-CN"/>
        </w:rPr>
        <w:t>”“</w:t>
      </w:r>
      <w:r>
        <w:rPr>
          <w:rFonts w:hint="default"/>
          <w:lang w:val="en-US" w:eastAsia="zh-CN"/>
        </w:rPr>
        <w:t>非遗+文创</w:t>
      </w:r>
      <w:r>
        <w:rPr>
          <w:rFonts w:hint="eastAsia"/>
          <w:lang w:val="en-US" w:eastAsia="zh-CN"/>
        </w:rPr>
        <w:t>”“</w:t>
      </w:r>
      <w:r>
        <w:rPr>
          <w:rFonts w:hint="default"/>
          <w:lang w:val="en-US" w:eastAsia="zh-CN"/>
        </w:rPr>
        <w:t>非遗＋研学</w:t>
      </w:r>
      <w:r>
        <w:rPr>
          <w:rFonts w:hint="eastAsia"/>
          <w:lang w:val="en-US" w:eastAsia="zh-CN"/>
        </w:rPr>
        <w:t>”</w:t>
      </w:r>
      <w:r>
        <w:rPr>
          <w:rFonts w:hint="default"/>
          <w:lang w:val="en-US" w:eastAsia="zh-CN"/>
        </w:rPr>
        <w:t>等模式，结合传统节庆、惠民活动等，开展非遗展演、技艺体验、非遗民俗等活动，拓宽非遗活化利用路径，让非遗从</w:t>
      </w:r>
      <w:r>
        <w:rPr>
          <w:rFonts w:hint="eastAsia"/>
          <w:lang w:val="en-US" w:eastAsia="zh-CN"/>
        </w:rPr>
        <w:t>“</w:t>
      </w:r>
      <w:r>
        <w:rPr>
          <w:rFonts w:hint="default"/>
          <w:lang w:val="en-US" w:eastAsia="zh-CN"/>
        </w:rPr>
        <w:t>小众传承</w:t>
      </w:r>
      <w:r>
        <w:rPr>
          <w:rFonts w:hint="eastAsia"/>
          <w:lang w:val="en-US" w:eastAsia="zh-CN"/>
        </w:rPr>
        <w:t>”</w:t>
      </w:r>
      <w:r>
        <w:rPr>
          <w:rFonts w:hint="default"/>
          <w:lang w:val="en-US" w:eastAsia="zh-CN"/>
        </w:rPr>
        <w:t>走向</w:t>
      </w:r>
      <w:r>
        <w:rPr>
          <w:rFonts w:hint="eastAsia"/>
          <w:lang w:val="en-US" w:eastAsia="zh-CN"/>
        </w:rPr>
        <w:t>“</w:t>
      </w:r>
      <w:r>
        <w:rPr>
          <w:rFonts w:hint="default"/>
          <w:lang w:val="en-US" w:eastAsia="zh-CN"/>
        </w:rPr>
        <w:t>大众共享</w:t>
      </w:r>
      <w:r>
        <w:rPr>
          <w:rFonts w:hint="eastAsia"/>
          <w:lang w:val="en-US" w:eastAsia="zh-CN"/>
        </w:rPr>
        <w:t>”</w:t>
      </w:r>
      <w:r>
        <w:rPr>
          <w:rFonts w:hint="default"/>
          <w:lang w:val="en-US" w:eastAsia="zh-CN"/>
        </w:rPr>
        <w:t>。</w:t>
      </w:r>
    </w:p>
    <w:tbl>
      <w:tblPr>
        <w:tblStyle w:val="15"/>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1"/>
      </w:tblGrid>
      <w:tr w14:paraId="3BA2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641" w:type="dxa"/>
            <w:noWrap w:val="0"/>
            <w:vAlign w:val="center"/>
          </w:tcPr>
          <w:p w14:paraId="02E149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专栏8-2  保护利用文化遗产工程</w:t>
            </w:r>
          </w:p>
        </w:tc>
      </w:tr>
      <w:tr w14:paraId="2A7B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1" w:type="dxa"/>
            <w:noWrap w:val="0"/>
            <w:vAlign w:val="top"/>
          </w:tcPr>
          <w:p w14:paraId="0A60EC25">
            <w:pPr>
              <w:keepNext w:val="0"/>
              <w:keepLines w:val="0"/>
              <w:pageBreakBefore w:val="0"/>
              <w:widowControl w:val="0"/>
              <w:kinsoku/>
              <w:wordWrap/>
              <w:overflowPunct/>
              <w:topLinePunct w:val="0"/>
              <w:autoSpaceDE/>
              <w:autoSpaceDN/>
              <w:bidi w:val="0"/>
              <w:adjustRightInd/>
              <w:snapToGrid/>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重点建设汉文化数字博物馆</w:t>
            </w:r>
            <w:r>
              <w:rPr>
                <w:rFonts w:hint="default" w:ascii="Times New Roman" w:hAnsi="Times New Roman" w:cs="Times New Roman"/>
                <w:b w:val="0"/>
                <w:bCs w:val="0"/>
                <w:color w:val="auto"/>
                <w:spacing w:val="0"/>
                <w:kern w:val="2"/>
                <w:sz w:val="24"/>
                <w:szCs w:val="24"/>
                <w:vertAlign w:val="baseline"/>
                <w:lang w:val="en-US" w:eastAsia="zh-CN" w:bidi="ar-SA"/>
              </w:rPr>
              <w:t>、龙江龙舞特色非遗传承聚集体验区、汉中千裡酥非遗技艺传承博物馆、宗营镇非遗文化融合发展、汉南书院提升改造、汉中</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石门十三品</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摩崖石刻传承与发展数字研究中心、汉台区文保修复展示中心、汉中西北联大遗址纪念展览馆</w:t>
            </w:r>
            <w:r>
              <w:rPr>
                <w:rFonts w:hint="default" w:ascii="Times New Roman" w:hAnsi="Times New Roman" w:eastAsia="仿宋_GB2312" w:cs="Times New Roman"/>
                <w:b w:val="0"/>
                <w:bCs w:val="0"/>
                <w:color w:val="auto"/>
                <w:spacing w:val="0"/>
                <w:kern w:val="2"/>
                <w:sz w:val="24"/>
                <w:szCs w:val="24"/>
                <w:vertAlign w:val="baseline"/>
                <w:lang w:val="en-US" w:eastAsia="zh-CN" w:bidi="ar-SA"/>
              </w:rPr>
              <w:t>等项目。</w:t>
            </w:r>
          </w:p>
        </w:tc>
      </w:tr>
    </w:tbl>
    <w:p w14:paraId="378BB8C8">
      <w:pPr>
        <w:jc w:val="center"/>
        <w:rPr>
          <w:rFonts w:hint="eastAsia" w:ascii="黑体" w:hAnsi="黑体" w:eastAsia="黑体" w:cs="黑体"/>
          <w:lang w:val="en-US" w:eastAsia="zh-CN"/>
        </w:rPr>
      </w:pPr>
      <w:bookmarkStart w:id="266" w:name="_Toc8285"/>
      <w:bookmarkStart w:id="267" w:name="_Toc1918"/>
      <w:bookmarkStart w:id="268" w:name="_Toc26546"/>
      <w:r>
        <w:rPr>
          <w:rFonts w:hint="eastAsia" w:ascii="黑体" w:hAnsi="黑体" w:eastAsia="黑体" w:cs="黑体"/>
          <w:lang w:val="en-US" w:eastAsia="zh-CN"/>
        </w:rPr>
        <w:t>第三节  繁荣发展文化事业</w:t>
      </w:r>
      <w:bookmarkEnd w:id="266"/>
      <w:bookmarkEnd w:id="267"/>
      <w:bookmarkEnd w:id="268"/>
    </w:p>
    <w:p w14:paraId="572D743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楷体_GB2312" w:hAnsi="楷体_GB2312" w:eastAsia="楷体_GB2312" w:cs="楷体_GB2312"/>
        </w:rPr>
        <w:t>加强公共文化产品和服务供给</w:t>
      </w:r>
      <w:r>
        <w:rPr>
          <w:rFonts w:hint="eastAsia" w:ascii="楷体_GB2312" w:hAnsi="楷体_GB2312" w:eastAsia="楷体_GB2312" w:cs="楷体_GB2312"/>
          <w:lang w:eastAsia="zh-CN"/>
        </w:rPr>
        <w:t>。</w:t>
      </w:r>
      <w:r>
        <w:rPr>
          <w:rFonts w:hint="default"/>
        </w:rPr>
        <w:t>健全区镇（街道）村（社区）三级公共文化服务体系，</w:t>
      </w:r>
      <w:r>
        <w:rPr>
          <w:rFonts w:hint="default"/>
          <w:lang w:val="en-US" w:eastAsia="zh-CN"/>
        </w:rPr>
        <w:t>提升</w:t>
      </w:r>
      <w:r>
        <w:rPr>
          <w:rFonts w:hint="default"/>
        </w:rPr>
        <w:t>公共文化服务数字化</w:t>
      </w:r>
      <w:r>
        <w:rPr>
          <w:rFonts w:hint="default"/>
          <w:lang w:val="en-US" w:eastAsia="zh-CN"/>
        </w:rPr>
        <w:t>水平</w:t>
      </w:r>
      <w:r>
        <w:rPr>
          <w:rFonts w:hint="default"/>
        </w:rPr>
        <w:t>，</w:t>
      </w:r>
      <w:r>
        <w:rPr>
          <w:rFonts w:hint="default"/>
          <w:lang w:val="en-US" w:eastAsia="zh-CN"/>
        </w:rPr>
        <w:t>推进建设数字化图书馆、数字化文化馆</w:t>
      </w:r>
      <w:r>
        <w:rPr>
          <w:rFonts w:hint="default"/>
        </w:rPr>
        <w:t>。推进镇（街道）综合文化站、村（社区）综合文化服务中心等文化设施建设。</w:t>
      </w:r>
      <w:r>
        <w:rPr>
          <w:rFonts w:hint="default"/>
          <w:lang w:val="en-US" w:eastAsia="zh-CN"/>
        </w:rPr>
        <w:t>推进</w:t>
      </w:r>
      <w:r>
        <w:rPr>
          <w:rFonts w:hint="eastAsia"/>
          <w:lang w:val="en-US" w:eastAsia="zh-CN"/>
        </w:rPr>
        <w:t>“</w:t>
      </w:r>
      <w:r>
        <w:rPr>
          <w:rFonts w:hint="default"/>
          <w:lang w:val="en-US" w:eastAsia="zh-CN"/>
        </w:rPr>
        <w:t>书香汉台</w:t>
      </w:r>
      <w:r>
        <w:rPr>
          <w:rFonts w:hint="eastAsia"/>
          <w:lang w:val="en-US" w:eastAsia="zh-CN"/>
        </w:rPr>
        <w:t>”</w:t>
      </w:r>
      <w:r>
        <w:rPr>
          <w:rFonts w:hint="default"/>
          <w:lang w:val="en-US" w:eastAsia="zh-CN"/>
        </w:rPr>
        <w:t>建设，深化</w:t>
      </w:r>
      <w:r>
        <w:rPr>
          <w:rFonts w:hint="eastAsia"/>
          <w:lang w:val="en-US" w:eastAsia="zh-CN"/>
        </w:rPr>
        <w:t>“</w:t>
      </w:r>
      <w:r>
        <w:rPr>
          <w:rFonts w:hint="default"/>
          <w:lang w:val="en-US" w:eastAsia="zh-CN"/>
        </w:rPr>
        <w:t>城市书屋</w:t>
      </w:r>
      <w:r>
        <w:rPr>
          <w:rFonts w:hint="eastAsia"/>
          <w:lang w:val="en-US" w:eastAsia="zh-CN"/>
        </w:rPr>
        <w:t>”“</w:t>
      </w:r>
      <w:r>
        <w:rPr>
          <w:rFonts w:hint="default"/>
          <w:lang w:val="en-US" w:eastAsia="zh-CN"/>
        </w:rPr>
        <w:t>农家书屋</w:t>
      </w:r>
      <w:r>
        <w:rPr>
          <w:rFonts w:hint="eastAsia"/>
          <w:lang w:val="en-US" w:eastAsia="zh-CN"/>
        </w:rPr>
        <w:t>”</w:t>
      </w:r>
      <w:r>
        <w:rPr>
          <w:rFonts w:hint="default"/>
          <w:lang w:val="en-US" w:eastAsia="zh-CN"/>
        </w:rPr>
        <w:t>品牌建设，倡导全民阅读。</w:t>
      </w:r>
      <w:r>
        <w:rPr>
          <w:rFonts w:hint="default"/>
        </w:rPr>
        <w:t>挖掘乡土文艺人才，培育在全市</w:t>
      </w:r>
      <w:r>
        <w:rPr>
          <w:rFonts w:hint="default"/>
          <w:lang w:eastAsia="zh-CN"/>
        </w:rPr>
        <w:t>、</w:t>
      </w:r>
      <w:r>
        <w:rPr>
          <w:rFonts w:hint="default"/>
        </w:rPr>
        <w:t>全省具有知名度的社区文化团队，</w:t>
      </w:r>
      <w:r>
        <w:rPr>
          <w:rFonts w:hint="default"/>
          <w:lang w:val="en-US" w:eastAsia="zh-CN"/>
        </w:rPr>
        <w:t>常态化开展群众性文化活动和传统文化活动，</w:t>
      </w:r>
      <w:r>
        <w:rPr>
          <w:rFonts w:hint="default"/>
        </w:rPr>
        <w:t>探索具有民间特色和市场效益的公共文化供给方式</w:t>
      </w:r>
      <w:r>
        <w:rPr>
          <w:rFonts w:hint="default"/>
          <w:lang w:val="en-US" w:eastAsia="zh-CN"/>
        </w:rPr>
        <w:t>，提升文化惠民演出质量，努力使群众精神生活更加丰富。</w:t>
      </w:r>
    </w:p>
    <w:p w14:paraId="47C9DA6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鼓励文化精品创造。</w:t>
      </w:r>
      <w:r>
        <w:rPr>
          <w:rFonts w:hint="default"/>
        </w:rPr>
        <w:t>鼓励文化艺术、广播影视、文学美术精品创作，支持原创性文学、歌舞、书法、民间文艺等的创作和生产，不断推出反映时代新气象、讴歌人民新创造的文艺精品。</w:t>
      </w:r>
      <w:r>
        <w:rPr>
          <w:rFonts w:hint="default"/>
          <w:lang w:val="en-US" w:eastAsia="zh-CN"/>
        </w:rPr>
        <w:t>积极推进第三轮汉台区志编修工作。</w:t>
      </w:r>
    </w:p>
    <w:p w14:paraId="1F4AA19E">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default" w:ascii="楷体_GB2312" w:hAnsi="楷体_GB2312" w:eastAsia="楷体_GB2312" w:cs="楷体_GB2312"/>
          <w:lang w:val="en-US" w:eastAsia="zh-CN"/>
        </w:rPr>
        <w:t>加强文化阵地建设。</w:t>
      </w:r>
      <w:r>
        <w:rPr>
          <w:rFonts w:hint="default"/>
        </w:rPr>
        <w:t>推进新时代文明实践中心、融媒体中心融合建设，打造</w:t>
      </w:r>
      <w:r>
        <w:rPr>
          <w:rFonts w:hint="eastAsia"/>
          <w:lang w:eastAsia="zh-CN"/>
        </w:rPr>
        <w:t>“</w:t>
      </w:r>
      <w:r>
        <w:rPr>
          <w:rFonts w:hint="default"/>
        </w:rPr>
        <w:t>媒体+政务+服务</w:t>
      </w:r>
      <w:r>
        <w:rPr>
          <w:rFonts w:hint="eastAsia"/>
          <w:lang w:eastAsia="zh-CN"/>
        </w:rPr>
        <w:t>”</w:t>
      </w:r>
      <w:r>
        <w:rPr>
          <w:rFonts w:hint="default"/>
        </w:rPr>
        <w:t>的全媒体传播体系，持续巩固壮大主流思想舆论，占领新兴传播阵地，讲好汉台故事、唱响汉台声音、展示汉台形象。加强网络文明建设，发展积极健康的网络文化。到2030年，区融媒体中心主流舆论阵地、综合服务平台、社区信息枢纽作用充分彰显，所属各新媒体平台和账号新闻舆论传播力引导力影响力公信力显著提升。</w:t>
      </w:r>
    </w:p>
    <w:p w14:paraId="6AFE56B6">
      <w:pPr>
        <w:pStyle w:val="2"/>
        <w:rPr>
          <w:rFonts w:hint="default"/>
        </w:rPr>
      </w:pPr>
    </w:p>
    <w:tbl>
      <w:tblPr>
        <w:tblStyle w:val="15"/>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1"/>
      </w:tblGrid>
      <w:tr w14:paraId="030E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1" w:type="dxa"/>
            <w:noWrap w:val="0"/>
            <w:vAlign w:val="top"/>
          </w:tcPr>
          <w:p w14:paraId="0DF59E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专栏8-3  文化事业繁荣工程</w:t>
            </w:r>
          </w:p>
        </w:tc>
      </w:tr>
      <w:tr w14:paraId="493A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1" w:type="dxa"/>
            <w:noWrap w:val="0"/>
            <w:vAlign w:val="top"/>
          </w:tcPr>
          <w:p w14:paraId="069C1D7C">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val="0"/>
                <w:bCs w:val="0"/>
                <w:color w:val="auto"/>
                <w:spacing w:val="0"/>
                <w:kern w:val="2"/>
                <w:sz w:val="24"/>
                <w:szCs w:val="24"/>
                <w:vertAlign w:val="baseline"/>
                <w:lang w:val="en-US" w:eastAsia="zh-CN" w:bidi="ar-SA"/>
              </w:rPr>
              <w:t>加强公共文化产品和服务供给，鼓励文化精品创造，加强文化阵地建设，重点建设汉台区图文两馆提升改造、汉台区新型文化空间</w:t>
            </w:r>
            <w:r>
              <w:rPr>
                <w:rFonts w:hint="default" w:ascii="Times New Roman" w:hAnsi="Times New Roman" w:cs="Times New Roman"/>
                <w:b w:val="0"/>
                <w:bCs w:val="0"/>
                <w:color w:val="auto"/>
                <w:spacing w:val="0"/>
                <w:kern w:val="2"/>
                <w:sz w:val="24"/>
                <w:szCs w:val="24"/>
                <w:vertAlign w:val="baseline"/>
                <w:lang w:val="en-US" w:eastAsia="zh-CN" w:bidi="ar-SA"/>
              </w:rPr>
              <w:t>、徐望镇文化活动广场改造提升、老君镇公共文化活动中心、</w:t>
            </w:r>
            <w:r>
              <w:rPr>
                <w:rFonts w:hint="default" w:ascii="Times New Roman" w:hAnsi="Times New Roman" w:eastAsia="仿宋_GB2312" w:cs="Times New Roman"/>
                <w:b w:val="0"/>
                <w:bCs w:val="0"/>
                <w:color w:val="auto"/>
                <w:spacing w:val="0"/>
                <w:kern w:val="2"/>
                <w:sz w:val="24"/>
                <w:szCs w:val="24"/>
                <w:vertAlign w:val="baseline"/>
                <w:lang w:val="en-US" w:eastAsia="zh-CN" w:bidi="ar-SA"/>
              </w:rPr>
              <w:t>乡村文化振兴赋能等项目。</w:t>
            </w:r>
          </w:p>
        </w:tc>
      </w:tr>
    </w:tbl>
    <w:p w14:paraId="2E18482E">
      <w:pPr>
        <w:jc w:val="center"/>
        <w:rPr>
          <w:rFonts w:hint="eastAsia" w:ascii="黑体" w:hAnsi="黑体" w:eastAsia="黑体" w:cs="黑体"/>
          <w:lang w:val="en-US" w:eastAsia="zh-CN"/>
        </w:rPr>
      </w:pPr>
      <w:bookmarkStart w:id="269" w:name="_Toc1447"/>
      <w:bookmarkStart w:id="270" w:name="_Toc13892"/>
      <w:bookmarkStart w:id="271" w:name="_Toc31173"/>
      <w:r>
        <w:rPr>
          <w:rFonts w:hint="eastAsia" w:ascii="黑体" w:hAnsi="黑体" w:eastAsia="黑体" w:cs="黑体"/>
          <w:lang w:val="en-US" w:eastAsia="zh-CN"/>
        </w:rPr>
        <w:t>第四节  加快发展文化产业</w:t>
      </w:r>
      <w:bookmarkEnd w:id="269"/>
      <w:bookmarkEnd w:id="270"/>
      <w:bookmarkEnd w:id="271"/>
    </w:p>
    <w:p w14:paraId="4F87684A">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eastAsia="zh-CN"/>
        </w:rPr>
      </w:pPr>
      <w:r>
        <w:rPr>
          <w:rFonts w:hint="eastAsia" w:ascii="楷体_GB2312" w:hAnsi="楷体_GB2312" w:eastAsia="楷体_GB2312" w:cs="楷体_GB2312"/>
          <w:lang w:val="en-US" w:eastAsia="zh-CN"/>
        </w:rPr>
        <w:t>优化文化产业生态。</w:t>
      </w:r>
      <w:r>
        <w:rPr>
          <w:rFonts w:hint="default"/>
        </w:rPr>
        <w:t>坚持把社会效益放在首位、社会效益和经济效益相统一，</w:t>
      </w:r>
      <w:r>
        <w:rPr>
          <w:rFonts w:hint="default"/>
          <w:lang w:val="en-US" w:eastAsia="zh-CN"/>
        </w:rPr>
        <w:t>深化文化体制创新，完善文化管理体制，</w:t>
      </w:r>
      <w:r>
        <w:rPr>
          <w:rFonts w:hint="default"/>
        </w:rPr>
        <w:t>扩大优质文化产品供给。</w:t>
      </w:r>
      <w:r>
        <w:rPr>
          <w:rFonts w:hint="default"/>
          <w:lang w:val="en-US" w:eastAsia="zh-CN"/>
        </w:rPr>
        <w:t>推进公共文化设施所有权和使用权分置改革，探索文化设施运营新模式，推动公益服务职能与市场化运营更好结合。</w:t>
      </w:r>
      <w:r>
        <w:rPr>
          <w:rFonts w:hint="default"/>
        </w:rPr>
        <w:t>培育壮大一批骨干文化企业</w:t>
      </w:r>
      <w:r>
        <w:rPr>
          <w:rFonts w:hint="default"/>
          <w:lang w:eastAsia="zh-CN"/>
        </w:rPr>
        <w:t>。</w:t>
      </w:r>
      <w:r>
        <w:rPr>
          <w:rFonts w:hint="default"/>
        </w:rPr>
        <w:t>加快特色街区、</w:t>
      </w:r>
      <w:r>
        <w:rPr>
          <w:rFonts w:hint="default"/>
          <w:lang w:val="en-US" w:eastAsia="zh-CN"/>
        </w:rPr>
        <w:t>精品</w:t>
      </w:r>
      <w:r>
        <w:rPr>
          <w:rFonts w:hint="default"/>
        </w:rPr>
        <w:t>景区建设发展，积极引入国内头部IP企业、</w:t>
      </w:r>
      <w:r>
        <w:rPr>
          <w:rFonts w:hint="default"/>
          <w:lang w:val="en-US" w:eastAsia="zh-CN"/>
        </w:rPr>
        <w:t>专业</w:t>
      </w:r>
      <w:r>
        <w:rPr>
          <w:rFonts w:hint="default"/>
        </w:rPr>
        <w:t>运营主体，</w:t>
      </w:r>
      <w:r>
        <w:rPr>
          <w:rFonts w:hint="default"/>
          <w:lang w:val="en-US" w:eastAsia="zh-CN"/>
        </w:rPr>
        <w:t>加快发展</w:t>
      </w:r>
      <w:r>
        <w:rPr>
          <w:rFonts w:hint="default"/>
        </w:rPr>
        <w:t>动漫、电竞、影视、文创、新闻出版</w:t>
      </w:r>
      <w:r>
        <w:rPr>
          <w:rFonts w:hint="default"/>
          <w:lang w:val="en-US" w:eastAsia="zh-CN"/>
        </w:rPr>
        <w:t>等业态。</w:t>
      </w:r>
    </w:p>
    <w:p w14:paraId="72BAE256">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default" w:ascii="楷体_GB2312" w:hAnsi="楷体_GB2312" w:eastAsia="楷体_GB2312" w:cs="楷体_GB2312"/>
          <w:lang w:val="en-US" w:eastAsia="zh-CN"/>
        </w:rPr>
        <w:t>创新传统文化业态。</w:t>
      </w:r>
      <w:r>
        <w:rPr>
          <w:rFonts w:hint="default"/>
        </w:rPr>
        <w:t>推动</w:t>
      </w:r>
      <w:r>
        <w:rPr>
          <w:rFonts w:hint="default"/>
          <w:lang w:eastAsia="zh-CN"/>
        </w:rPr>
        <w:t>文化和旅游</w:t>
      </w:r>
      <w:r>
        <w:rPr>
          <w:rFonts w:hint="default"/>
        </w:rPr>
        <w:t>、科技、金融等融合发展。</w:t>
      </w:r>
      <w:r>
        <w:rPr>
          <w:rFonts w:hint="default"/>
          <w:lang w:val="en-US" w:eastAsia="zh-CN"/>
        </w:rPr>
        <w:t>依托生态资源、历史文化遗址、</w:t>
      </w:r>
      <w:r>
        <w:rPr>
          <w:rFonts w:hint="eastAsia"/>
          <w:lang w:val="en-US" w:eastAsia="zh-CN"/>
        </w:rPr>
        <w:t>“</w:t>
      </w:r>
      <w:r>
        <w:rPr>
          <w:rFonts w:hint="default"/>
          <w:lang w:val="en-US" w:eastAsia="zh-CN"/>
        </w:rPr>
        <w:t>三线建设</w:t>
      </w:r>
      <w:r>
        <w:rPr>
          <w:rFonts w:hint="eastAsia"/>
          <w:lang w:val="en-US" w:eastAsia="zh-CN"/>
        </w:rPr>
        <w:t>”</w:t>
      </w:r>
      <w:r>
        <w:rPr>
          <w:rFonts w:hint="default"/>
          <w:lang w:val="en-US" w:eastAsia="zh-CN"/>
        </w:rPr>
        <w:t>遗存等文化资源，</w:t>
      </w:r>
      <w:r>
        <w:rPr>
          <w:rFonts w:hint="default"/>
        </w:rPr>
        <w:t>策划包装文化演艺、文创产品、旅游商品、节事活动等</w:t>
      </w:r>
      <w:r>
        <w:rPr>
          <w:rFonts w:hint="default"/>
          <w:lang w:val="en-US" w:eastAsia="zh-CN"/>
        </w:rPr>
        <w:t>文化体验</w:t>
      </w:r>
      <w:r>
        <w:rPr>
          <w:rFonts w:hint="default"/>
        </w:rPr>
        <w:t>旅游产品，</w:t>
      </w:r>
      <w:r>
        <w:rPr>
          <w:rFonts w:hint="default"/>
          <w:lang w:val="en-US" w:eastAsia="zh-CN"/>
        </w:rPr>
        <w:t>推出更多具有创新性、引领性、代表性的文旅项目，打造一批</w:t>
      </w:r>
      <w:r>
        <w:rPr>
          <w:rFonts w:hint="default"/>
        </w:rPr>
        <w:t>文化和旅游消费集聚区</w:t>
      </w:r>
      <w:r>
        <w:rPr>
          <w:rFonts w:hint="default"/>
          <w:lang w:eastAsia="zh-CN"/>
        </w:rPr>
        <w:t>。</w:t>
      </w:r>
      <w:r>
        <w:rPr>
          <w:rFonts w:hint="default"/>
        </w:rPr>
        <w:t>以弘扬和传播</w:t>
      </w:r>
      <w:r>
        <w:rPr>
          <w:rFonts w:hint="eastAsia"/>
          <w:lang w:eastAsia="zh-CN"/>
        </w:rPr>
        <w:t>“</w:t>
      </w:r>
      <w:r>
        <w:rPr>
          <w:rFonts w:hint="default"/>
        </w:rPr>
        <w:t>汉文化</w:t>
      </w:r>
      <w:r>
        <w:rPr>
          <w:rFonts w:hint="eastAsia"/>
          <w:lang w:eastAsia="zh-CN"/>
        </w:rPr>
        <w:t>”</w:t>
      </w:r>
      <w:r>
        <w:rPr>
          <w:rFonts w:hint="default"/>
        </w:rPr>
        <w:t>为着力点，加强对外文化交流和多层次文明对话。</w:t>
      </w:r>
    </w:p>
    <w:p w14:paraId="575E431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培育文化创意产业。</w:t>
      </w:r>
      <w:r>
        <w:rPr>
          <w:rFonts w:hint="default"/>
          <w:lang w:val="en-US" w:eastAsia="zh-CN"/>
        </w:rPr>
        <w:t>大力发展文化创意、休闲度假、乡村旅游、研学教育等新业态。支持发展沉浸式、数字化文旅新场景新业态，鼓励运用VR、AR、AI等技术赋能内容创作、舞台演艺、场景体验等环节，积极发展</w:t>
      </w:r>
      <w:r>
        <w:rPr>
          <w:rFonts w:hint="eastAsia"/>
          <w:lang w:val="en-US" w:eastAsia="zh-CN"/>
        </w:rPr>
        <w:t>“</w:t>
      </w:r>
      <w:r>
        <w:rPr>
          <w:rFonts w:hint="default"/>
          <w:lang w:val="en-US" w:eastAsia="zh-CN"/>
        </w:rPr>
        <w:t>国潮汉风</w:t>
      </w:r>
      <w:r>
        <w:rPr>
          <w:rFonts w:hint="eastAsia"/>
          <w:lang w:val="en-US" w:eastAsia="zh-CN"/>
        </w:rPr>
        <w:t>”</w:t>
      </w:r>
      <w:r>
        <w:rPr>
          <w:rFonts w:hint="default"/>
          <w:lang w:val="en-US" w:eastAsia="zh-CN"/>
        </w:rPr>
        <w:t>数字演艺、微短剧等新兴业态，打造更多互动体验的沉浸式新场景。支持举办文化创意设计大赛等具有品牌影响力的重大文化展会、精品赛事等活动，叫响一批汉台文创品牌。</w:t>
      </w:r>
    </w:p>
    <w:tbl>
      <w:tblPr>
        <w:tblStyle w:val="15"/>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0"/>
      </w:tblGrid>
      <w:tr w14:paraId="1A2D78C0">
        <w:tblPrEx>
          <w:tblCellMar>
            <w:top w:w="0" w:type="dxa"/>
            <w:left w:w="108" w:type="dxa"/>
            <w:bottom w:w="0" w:type="dxa"/>
            <w:right w:w="108" w:type="dxa"/>
          </w:tblCellMar>
        </w:tblPrEx>
        <w:tc>
          <w:tcPr>
            <w:tcW w:w="8500" w:type="dxa"/>
            <w:noWrap w:val="0"/>
            <w:vAlign w:val="top"/>
          </w:tcPr>
          <w:p w14:paraId="6A574E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专栏8-4  文化产业发展工程</w:t>
            </w:r>
          </w:p>
        </w:tc>
      </w:tr>
      <w:tr w14:paraId="20EB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0" w:type="dxa"/>
            <w:noWrap w:val="0"/>
            <w:vAlign w:val="top"/>
          </w:tcPr>
          <w:p w14:paraId="7D2F12FB">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val="0"/>
                <w:bCs w:val="0"/>
                <w:color w:val="auto"/>
                <w:spacing w:val="0"/>
                <w:kern w:val="2"/>
                <w:sz w:val="24"/>
                <w:szCs w:val="24"/>
                <w:vertAlign w:val="baseline"/>
                <w:lang w:val="en-US" w:eastAsia="zh-CN" w:bidi="ar-SA"/>
              </w:rPr>
              <w:t>策划包装文化演艺、文创产品、旅游商品、节事活动等旅游产品，发展遗址博览、文创体验、非物质文化传承、文化演艺、休闲娱乐等文化体验旅游，重点建设</w:t>
            </w:r>
            <w:r>
              <w:rPr>
                <w:rFonts w:hint="default" w:ascii="Times New Roman" w:hAnsi="Times New Roman" w:cs="Times New Roman"/>
                <w:b w:val="0"/>
                <w:bCs w:val="0"/>
                <w:color w:val="auto"/>
                <w:spacing w:val="0"/>
                <w:kern w:val="2"/>
                <w:sz w:val="24"/>
                <w:szCs w:val="24"/>
                <w:vertAlign w:val="baseline"/>
                <w:lang w:val="en-US" w:eastAsia="zh-CN" w:bidi="ar-SA"/>
              </w:rPr>
              <w:t>汉中市文化产业融合基地、汉中市图书文创批销中心、汉台区短剧基地、汉文化主题乐园、大众创意文化艺术产业片区、文创产品研发及生产基地等项目</w:t>
            </w:r>
            <w:r>
              <w:rPr>
                <w:rFonts w:hint="default" w:ascii="Times New Roman" w:hAnsi="Times New Roman" w:eastAsia="仿宋_GB2312" w:cs="Times New Roman"/>
                <w:b w:val="0"/>
                <w:bCs w:val="0"/>
                <w:color w:val="auto"/>
                <w:spacing w:val="0"/>
                <w:kern w:val="2"/>
                <w:sz w:val="24"/>
                <w:szCs w:val="24"/>
                <w:vertAlign w:val="baseline"/>
                <w:lang w:val="en-US" w:eastAsia="zh-CN" w:bidi="ar-SA"/>
              </w:rPr>
              <w:t>。</w:t>
            </w:r>
          </w:p>
        </w:tc>
      </w:tr>
    </w:tbl>
    <w:p w14:paraId="08F0AF6C">
      <w:pPr>
        <w:pStyle w:val="2"/>
        <w:ind w:left="0" w:leftChars="0" w:firstLine="0" w:firstLineChars="0"/>
        <w:rPr>
          <w:rFonts w:hint="eastAsia"/>
        </w:rPr>
      </w:pPr>
    </w:p>
    <w:p w14:paraId="3B03DCF4">
      <w:pPr>
        <w:pStyle w:val="2"/>
        <w:ind w:left="0" w:leftChars="0" w:firstLine="0" w:firstLineChars="0"/>
        <w:rPr>
          <w:rFonts w:hint="eastAsia"/>
        </w:rPr>
      </w:pPr>
    </w:p>
    <w:p w14:paraId="5C437864">
      <w:pPr>
        <w:pStyle w:val="2"/>
        <w:ind w:left="0" w:leftChars="0" w:firstLine="0" w:firstLineChars="0"/>
        <w:rPr>
          <w:rFonts w:hint="eastAsia"/>
        </w:rPr>
      </w:pPr>
    </w:p>
    <w:p w14:paraId="434CC84A">
      <w:pPr>
        <w:pStyle w:val="2"/>
        <w:ind w:left="0" w:leftChars="0" w:firstLine="0" w:firstLineChars="0"/>
        <w:rPr>
          <w:rFonts w:hint="eastAsia"/>
        </w:rPr>
      </w:pPr>
    </w:p>
    <w:p w14:paraId="3CCDFAF8">
      <w:pPr>
        <w:pStyle w:val="2"/>
        <w:ind w:left="0" w:leftChars="0" w:firstLine="0" w:firstLineChars="0"/>
        <w:rPr>
          <w:rFonts w:hint="eastAsia"/>
        </w:rPr>
      </w:pPr>
    </w:p>
    <w:p w14:paraId="0A902441">
      <w:pPr>
        <w:pStyle w:val="2"/>
        <w:ind w:left="0" w:leftChars="0" w:firstLine="0" w:firstLineChars="0"/>
        <w:rPr>
          <w:rFonts w:hint="eastAsia"/>
        </w:rPr>
      </w:pPr>
    </w:p>
    <w:p w14:paraId="29845610">
      <w:pPr>
        <w:pStyle w:val="2"/>
        <w:ind w:left="0" w:leftChars="0" w:firstLine="0" w:firstLineChars="0"/>
        <w:rPr>
          <w:rFonts w:hint="eastAsia"/>
        </w:rPr>
      </w:pPr>
    </w:p>
    <w:p w14:paraId="59683121">
      <w:pPr>
        <w:pStyle w:val="2"/>
        <w:ind w:left="0" w:leftChars="0" w:firstLine="0" w:firstLineChars="0"/>
        <w:rPr>
          <w:rFonts w:hint="eastAsia"/>
        </w:rPr>
      </w:pPr>
    </w:p>
    <w:p w14:paraId="56B3BF64">
      <w:pPr>
        <w:pStyle w:val="2"/>
        <w:ind w:left="0" w:leftChars="0" w:firstLine="0" w:firstLineChars="0"/>
        <w:rPr>
          <w:rFonts w:hint="eastAsia"/>
        </w:rPr>
      </w:pPr>
    </w:p>
    <w:p w14:paraId="69071F7B">
      <w:pPr>
        <w:pStyle w:val="2"/>
        <w:ind w:left="0" w:leftChars="0" w:firstLine="0" w:firstLineChars="0"/>
        <w:rPr>
          <w:rFonts w:hint="eastAsia"/>
        </w:rPr>
      </w:pPr>
    </w:p>
    <w:p w14:paraId="7144AC81">
      <w:pPr>
        <w:pStyle w:val="2"/>
        <w:ind w:left="0" w:leftChars="0" w:firstLine="0" w:firstLineChars="0"/>
        <w:rPr>
          <w:rFonts w:hint="eastAsia"/>
        </w:rPr>
      </w:pPr>
    </w:p>
    <w:p w14:paraId="3B79E1C7">
      <w:pPr>
        <w:pStyle w:val="2"/>
        <w:ind w:left="0" w:leftChars="0" w:firstLine="0" w:firstLineChars="0"/>
        <w:rPr>
          <w:rFonts w:hint="eastAsia"/>
        </w:rPr>
      </w:pPr>
    </w:p>
    <w:p w14:paraId="7E1255C1">
      <w:pPr>
        <w:pStyle w:val="2"/>
        <w:ind w:left="0" w:leftChars="0" w:firstLine="0" w:firstLineChars="0"/>
        <w:rPr>
          <w:rFonts w:hint="eastAsia"/>
        </w:rPr>
      </w:pPr>
    </w:p>
    <w:p w14:paraId="232DB528">
      <w:pPr>
        <w:pStyle w:val="2"/>
        <w:ind w:left="0" w:leftChars="0" w:firstLine="0" w:firstLineChars="0"/>
        <w:rPr>
          <w:rFonts w:hint="eastAsia"/>
        </w:rPr>
      </w:pPr>
    </w:p>
    <w:p w14:paraId="67C31A6A">
      <w:pPr>
        <w:pStyle w:val="2"/>
        <w:ind w:left="0" w:leftChars="0" w:firstLine="0" w:firstLineChars="0"/>
        <w:rPr>
          <w:rFonts w:hint="eastAsia"/>
        </w:rPr>
      </w:pPr>
    </w:p>
    <w:p w14:paraId="1848CFCB">
      <w:pPr>
        <w:pStyle w:val="2"/>
        <w:ind w:left="0" w:leftChars="0" w:firstLine="0" w:firstLineChars="0"/>
        <w:rPr>
          <w:rFonts w:hint="eastAsia"/>
        </w:rPr>
      </w:pPr>
    </w:p>
    <w:p w14:paraId="2125001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rtl w:val="0"/>
          <w:lang w:val="en-US" w:eastAsia="zh-CN"/>
        </w:rPr>
      </w:pPr>
      <w:bookmarkStart w:id="272" w:name="_Toc14456"/>
      <w:r>
        <w:rPr>
          <w:rFonts w:hint="eastAsia" w:ascii="方正小标宋简体" w:hAnsi="方正小标宋简体" w:eastAsia="方正小标宋简体" w:cs="方正小标宋简体"/>
          <w:sz w:val="44"/>
          <w:szCs w:val="44"/>
          <w:lang w:val="en-US" w:eastAsia="zh-CN"/>
        </w:rPr>
        <w:t>第九章  保障</w:t>
      </w:r>
      <w:r>
        <w:rPr>
          <w:rFonts w:hint="eastAsia" w:ascii="方正小标宋简体" w:hAnsi="方正小标宋简体" w:eastAsia="方正小标宋简体" w:cs="方正小标宋简体"/>
          <w:sz w:val="44"/>
          <w:szCs w:val="44"/>
          <w:rtl w:val="0"/>
          <w:lang w:val="en-US" w:eastAsia="zh-CN"/>
        </w:rPr>
        <w:t>改善民生福祉，</w:t>
      </w:r>
    </w:p>
    <w:p w14:paraId="1DC8098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rtl w:val="0"/>
          <w:lang w:val="en-US" w:eastAsia="zh-CN"/>
        </w:rPr>
      </w:pPr>
      <w:r>
        <w:rPr>
          <w:rFonts w:hint="eastAsia" w:ascii="方正小标宋简体" w:hAnsi="方正小标宋简体" w:eastAsia="方正小标宋简体" w:cs="方正小标宋简体"/>
          <w:sz w:val="44"/>
          <w:szCs w:val="44"/>
          <w:rtl w:val="0"/>
          <w:lang w:val="en-US" w:eastAsia="zh-CN"/>
        </w:rPr>
        <w:t>建设为民服务的首善区</w:t>
      </w:r>
      <w:bookmarkEnd w:id="272"/>
    </w:p>
    <w:p w14:paraId="146001D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p>
    <w:p w14:paraId="5DD703B9">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顺应人口发展趋势，坚持尽力而为、量力而行，加强普惠性、基础性、兜底性民生建设，着力解决人民群众急难愁盼问题，增强基本公共服务的均衡性和可及性，</w:t>
      </w:r>
      <w:r>
        <w:rPr>
          <w:rFonts w:hint="default"/>
          <w:lang w:val="de-DE" w:eastAsia="de-DE"/>
        </w:rPr>
        <w:t>建设为民服务首善区，</w:t>
      </w:r>
      <w:r>
        <w:rPr>
          <w:rFonts w:hint="default"/>
          <w:lang w:val="en-US" w:eastAsia="zh-CN"/>
        </w:rPr>
        <w:t>不断满足人民对美好生活的向往。</w:t>
      </w:r>
    </w:p>
    <w:p w14:paraId="542C0648">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lang w:val="en-US" w:eastAsia="zh-CN"/>
        </w:rPr>
      </w:pPr>
      <w:bookmarkStart w:id="273" w:name="_Toc25224"/>
      <w:bookmarkStart w:id="274" w:name="_Toc19236"/>
      <w:bookmarkStart w:id="275" w:name="_Toc27746"/>
      <w:r>
        <w:rPr>
          <w:rFonts w:hint="eastAsia" w:ascii="黑体" w:hAnsi="黑体" w:eastAsia="黑体" w:cs="黑体"/>
          <w:lang w:val="en-US" w:eastAsia="zh-CN"/>
        </w:rPr>
        <w:t>第一节  促进高质量充分就业</w:t>
      </w:r>
      <w:bookmarkEnd w:id="273"/>
      <w:bookmarkEnd w:id="274"/>
      <w:bookmarkEnd w:id="275"/>
    </w:p>
    <w:p w14:paraId="2337B03D">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楷体_GB2312" w:hAnsi="楷体_GB2312" w:eastAsia="楷体_GB2312" w:cs="楷体_GB2312"/>
          <w:lang w:val="en-US" w:eastAsia="zh-CN"/>
        </w:rPr>
        <w:t>扩大就业岗位供给。</w:t>
      </w:r>
      <w:r>
        <w:rPr>
          <w:rFonts w:hint="default"/>
          <w:lang w:val="en-US" w:eastAsia="zh-CN"/>
        </w:rPr>
        <w:t>强化就业政策与产业、投资、消费、人口等政策的协同联动，建立招商引资、重点项目、重大投资促进就业评估机制。构建常态化援企稳岗帮扶机制，加快惠企政策落实减轻企业负担，抓好各项促进就业政策措施落地，稳定就业岗位。强化民营企业、中小微企业吸纳就业主渠道作用，稳定扩大就业岗位容量。坚持扩大内需战略创造就业岗位，不断发展新业态、培育新动能，把平台经济、共享经济等作为拓宽就业的重要渠道，加强灵活就业和新就业形态的政策支持，开发新的就业增长点。</w:t>
      </w:r>
      <w:r>
        <w:rPr>
          <w:rFonts w:hint="eastAsia"/>
          <w:lang w:val="en-US" w:eastAsia="zh-CN"/>
        </w:rPr>
        <w:t>“</w:t>
      </w:r>
      <w:r>
        <w:rPr>
          <w:rFonts w:hint="default"/>
          <w:lang w:val="en-US" w:eastAsia="zh-CN"/>
        </w:rPr>
        <w:t>十五五</w:t>
      </w:r>
      <w:r>
        <w:rPr>
          <w:rFonts w:hint="eastAsia"/>
          <w:lang w:val="en-US" w:eastAsia="zh-CN"/>
        </w:rPr>
        <w:t>”</w:t>
      </w:r>
      <w:r>
        <w:rPr>
          <w:rFonts w:hint="default"/>
          <w:lang w:val="en-US" w:eastAsia="zh-CN"/>
        </w:rPr>
        <w:t>期间，每年城镇新增就业人数不低于1万人。</w:t>
      </w:r>
    </w:p>
    <w:p w14:paraId="270B6C5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de-DE" w:eastAsia="zh-CN"/>
        </w:rPr>
      </w:pPr>
      <w:r>
        <w:rPr>
          <w:rFonts w:hint="default" w:ascii="楷体_GB2312" w:hAnsi="楷体_GB2312" w:eastAsia="楷体_GB2312" w:cs="楷体_GB2312"/>
          <w:lang w:val="en-US" w:eastAsia="zh-CN"/>
        </w:rPr>
        <w:t>推动重点群体就业。</w:t>
      </w:r>
      <w:r>
        <w:rPr>
          <w:rFonts w:hint="default"/>
          <w:lang w:val="de-DE" w:eastAsia="zh-CN"/>
        </w:rPr>
        <w:t>实施离校未就业高校毕业生就业服务攻坚行动，严格落实</w:t>
      </w:r>
      <w:r>
        <w:rPr>
          <w:rFonts w:hint="eastAsia"/>
          <w:lang w:val="de-DE" w:eastAsia="zh-CN"/>
        </w:rPr>
        <w:t>“</w:t>
      </w:r>
      <w:r>
        <w:rPr>
          <w:rFonts w:hint="default"/>
          <w:lang w:val="de-DE" w:eastAsia="zh-CN"/>
        </w:rPr>
        <w:t>1131</w:t>
      </w:r>
      <w:r>
        <w:rPr>
          <w:rFonts w:hint="eastAsia"/>
          <w:lang w:val="de-DE" w:eastAsia="zh-CN"/>
        </w:rPr>
        <w:t>”</w:t>
      </w:r>
      <w:r>
        <w:rPr>
          <w:rFonts w:hint="default"/>
          <w:lang w:val="de-DE" w:eastAsia="zh-CN"/>
        </w:rPr>
        <w:t>实名服务机制，建立台账并开展跟踪服务。依托乡村产业、返乡入乡创业等</w:t>
      </w:r>
      <w:r>
        <w:rPr>
          <w:rFonts w:hint="default"/>
          <w:lang w:val="en-US" w:eastAsia="zh-CN"/>
        </w:rPr>
        <w:t>方式</w:t>
      </w:r>
      <w:r>
        <w:rPr>
          <w:rFonts w:hint="default"/>
          <w:lang w:val="de-DE" w:eastAsia="zh-CN"/>
        </w:rPr>
        <w:t>，培育农村新产业、新业态、新模式，</w:t>
      </w:r>
      <w:r>
        <w:rPr>
          <w:rFonts w:hint="default"/>
          <w:lang w:val="en-US" w:eastAsia="zh-CN"/>
        </w:rPr>
        <w:t>扩大以工代赈项目覆盖范围、建设领域和劳务报酬发放规模，</w:t>
      </w:r>
      <w:r>
        <w:rPr>
          <w:rFonts w:hint="default"/>
          <w:lang w:val="de-DE" w:eastAsia="zh-CN"/>
        </w:rPr>
        <w:t>拓宽农村劳动力就地就近就业渠道，确保每年</w:t>
      </w:r>
      <w:r>
        <w:rPr>
          <w:rFonts w:hint="default"/>
          <w:lang w:val="en-US" w:eastAsia="zh-CN"/>
        </w:rPr>
        <w:t>农业</w:t>
      </w:r>
      <w:r>
        <w:rPr>
          <w:rFonts w:hint="default"/>
          <w:lang w:val="de-DE" w:eastAsia="zh-CN"/>
        </w:rPr>
        <w:t>转移就业人数稳定在8万人左右。加强就业失业信息监测，做好脱贫人口返乡回流监测与帮扶，畅通失业人员求助渠道，推动失业登记、职业指导、技能培训、生活保障联动。推进区级零工市场规范化建设，强化信息服务与困难零工帮扶；对市场渠道难以就业的人员，通过公益性岗位兜底安置，确保零就业家庭动态清零，</w:t>
      </w:r>
      <w:r>
        <w:rPr>
          <w:rFonts w:hint="eastAsia"/>
          <w:lang w:val="de-DE" w:eastAsia="zh-CN"/>
        </w:rPr>
        <w:t>“</w:t>
      </w:r>
      <w:r>
        <w:rPr>
          <w:rFonts w:hint="default"/>
          <w:lang w:val="de-DE" w:eastAsia="zh-CN"/>
        </w:rPr>
        <w:t>十五五</w:t>
      </w:r>
      <w:r>
        <w:rPr>
          <w:rFonts w:hint="eastAsia"/>
          <w:lang w:val="de-DE" w:eastAsia="zh-CN"/>
        </w:rPr>
        <w:t>”</w:t>
      </w:r>
      <w:r>
        <w:rPr>
          <w:rFonts w:hint="default"/>
          <w:lang w:val="de-DE" w:eastAsia="zh-CN"/>
        </w:rPr>
        <w:t>期间，帮扶就业困难人员就业不少于9000人。</w:t>
      </w:r>
    </w:p>
    <w:p w14:paraId="7B25AC5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完善就业服务体系。</w:t>
      </w:r>
      <w:r>
        <w:rPr>
          <w:rFonts w:hint="default"/>
          <w:lang w:val="en-US" w:eastAsia="zh-CN"/>
        </w:rPr>
        <w:t>提升公共就业服务能力，健全线上线下一体的全方位就业公共服务体系，加大线上服务供给力度，积极推进就业创业服务和补贴申领</w:t>
      </w:r>
      <w:r>
        <w:rPr>
          <w:rFonts w:hint="eastAsia"/>
          <w:lang w:val="en-US" w:eastAsia="zh-CN"/>
        </w:rPr>
        <w:t>“</w:t>
      </w:r>
      <w:r>
        <w:rPr>
          <w:rFonts w:hint="default"/>
          <w:lang w:val="en-US" w:eastAsia="zh-CN"/>
        </w:rPr>
        <w:t>网上办</w:t>
      </w:r>
      <w:r>
        <w:rPr>
          <w:rFonts w:hint="eastAsia"/>
          <w:lang w:val="en-US" w:eastAsia="zh-CN"/>
        </w:rPr>
        <w:t>”</w:t>
      </w:r>
      <w:r>
        <w:rPr>
          <w:rFonts w:hint="default"/>
          <w:lang w:val="en-US" w:eastAsia="zh-CN"/>
        </w:rPr>
        <w:t>。健全</w:t>
      </w:r>
      <w:r>
        <w:rPr>
          <w:rFonts w:hint="eastAsia"/>
          <w:lang w:val="en-US" w:eastAsia="zh-CN"/>
        </w:rPr>
        <w:t>“</w:t>
      </w:r>
      <w:r>
        <w:rPr>
          <w:rFonts w:hint="default"/>
          <w:lang w:val="en-US" w:eastAsia="zh-CN"/>
        </w:rPr>
        <w:t>家门口</w:t>
      </w:r>
      <w:r>
        <w:rPr>
          <w:rFonts w:hint="eastAsia"/>
          <w:lang w:val="en-US" w:eastAsia="zh-CN"/>
        </w:rPr>
        <w:t>”</w:t>
      </w:r>
      <w:r>
        <w:rPr>
          <w:rFonts w:hint="default"/>
          <w:lang w:val="en-US" w:eastAsia="zh-CN"/>
        </w:rPr>
        <w:t>就业服务体系，建设区、街道、社区三级就业服务网络，扎实推进</w:t>
      </w:r>
      <w:r>
        <w:rPr>
          <w:rFonts w:hint="eastAsia"/>
          <w:lang w:val="en-US" w:eastAsia="zh-CN"/>
        </w:rPr>
        <w:t>“</w:t>
      </w:r>
      <w:r>
        <w:rPr>
          <w:rFonts w:hint="default"/>
          <w:lang w:val="en-US" w:eastAsia="zh-CN"/>
        </w:rPr>
        <w:t>15分钟就业服务便民圈</w:t>
      </w:r>
      <w:r>
        <w:rPr>
          <w:rFonts w:hint="eastAsia"/>
          <w:lang w:val="en-US" w:eastAsia="zh-CN"/>
        </w:rPr>
        <w:t>”</w:t>
      </w:r>
      <w:r>
        <w:rPr>
          <w:rFonts w:hint="default"/>
          <w:lang w:val="en-US" w:eastAsia="zh-CN"/>
        </w:rPr>
        <w:t>建设，积极布局家门口就业服务站，加强镇办就业驿站建设，推动就业服务数字化、基层化融合创新，常态化开展</w:t>
      </w:r>
      <w:r>
        <w:rPr>
          <w:rFonts w:hint="eastAsia"/>
          <w:lang w:val="en-US" w:eastAsia="zh-CN"/>
        </w:rPr>
        <w:t>“</w:t>
      </w:r>
      <w:r>
        <w:rPr>
          <w:rFonts w:hint="default"/>
          <w:lang w:val="en-US" w:eastAsia="zh-CN"/>
        </w:rPr>
        <w:t>家门口</w:t>
      </w:r>
      <w:r>
        <w:rPr>
          <w:rFonts w:hint="eastAsia"/>
          <w:lang w:val="en-US" w:eastAsia="zh-CN"/>
        </w:rPr>
        <w:t>”</w:t>
      </w:r>
      <w:r>
        <w:rPr>
          <w:rFonts w:hint="default"/>
          <w:lang w:val="en-US" w:eastAsia="zh-CN"/>
        </w:rPr>
        <w:t>就业服务进社区岗位推荐活动，切实帮助群众实现</w:t>
      </w:r>
      <w:r>
        <w:rPr>
          <w:rFonts w:hint="eastAsia"/>
          <w:lang w:val="en-US" w:eastAsia="zh-CN"/>
        </w:rPr>
        <w:t>“</w:t>
      </w:r>
      <w:r>
        <w:rPr>
          <w:rFonts w:hint="default"/>
          <w:lang w:val="en-US" w:eastAsia="zh-CN"/>
        </w:rPr>
        <w:t>家门口</w:t>
      </w:r>
      <w:r>
        <w:rPr>
          <w:rFonts w:hint="eastAsia"/>
          <w:lang w:val="en-US" w:eastAsia="zh-CN"/>
        </w:rPr>
        <w:t>”</w:t>
      </w:r>
      <w:r>
        <w:rPr>
          <w:rFonts w:hint="default"/>
          <w:lang w:val="en-US" w:eastAsia="zh-CN"/>
        </w:rPr>
        <w:t>就业。</w:t>
      </w:r>
    </w:p>
    <w:p w14:paraId="38D7F51E">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拓宽居民增收渠道。</w:t>
      </w:r>
      <w:r>
        <w:rPr>
          <w:rFonts w:hint="default"/>
          <w:lang w:val="en-US" w:eastAsia="zh-CN"/>
        </w:rPr>
        <w:t>规范收入分配秩序和财富积累机制，支持勤劳创新合法致富，鼓励先富带后富促共富。</w:t>
      </w:r>
      <w:r>
        <w:rPr>
          <w:rFonts w:hint="default"/>
        </w:rPr>
        <w:t>健全劳动者工资决定、合理增长和支付保障机制，落实最低工资标准调整、企业工资指导线发布机制，促进工资性收入合理增长。完善知识、技术、数据等生产要素参与分配机制，提高居民股权红利收入</w:t>
      </w:r>
      <w:r>
        <w:rPr>
          <w:rFonts w:hint="default"/>
          <w:lang w:eastAsia="zh-CN"/>
        </w:rPr>
        <w:t>，</w:t>
      </w:r>
      <w:r>
        <w:rPr>
          <w:rFonts w:hint="default"/>
          <w:lang w:val="en-US" w:eastAsia="zh-CN"/>
        </w:rPr>
        <w:t>多渠道增加居民财产性收入</w:t>
      </w:r>
      <w:r>
        <w:rPr>
          <w:rFonts w:hint="default"/>
        </w:rPr>
        <w:t>。多措并举促进农民增收，</w:t>
      </w:r>
      <w:r>
        <w:rPr>
          <w:rFonts w:hint="default"/>
          <w:lang w:val="en-US" w:eastAsia="zh-CN"/>
        </w:rPr>
        <w:t>盘活农村闲置宅基地、集体建设用地等资源，发展壮大村集体经济，</w:t>
      </w:r>
      <w:r>
        <w:rPr>
          <w:rFonts w:hint="default"/>
        </w:rPr>
        <w:t>通过出租、入股、合作等方式盘活利用农户合法拥有的住房。推进转移净收入稳定增长，兜牢兜实基本收入底线，按期发放养老金、失业补助金、最低生活保障金等</w:t>
      </w:r>
      <w:r>
        <w:rPr>
          <w:rFonts w:hint="default"/>
          <w:lang w:eastAsia="zh-CN"/>
        </w:rPr>
        <w:t>。</w:t>
      </w:r>
      <w:r>
        <w:rPr>
          <w:rFonts w:hint="default"/>
          <w:lang w:val="en-US" w:eastAsia="zh-CN"/>
        </w:rPr>
        <w:t>加大税收、社保、转移支付等调节力度，有效增加低收入群体收入，稳步扩大中等收入群体规模，合理调节过高收入，取缔非法收入。持续开展农村劳动力务工欠薪专项治理，健全农民工工资支付长效机制。</w:t>
      </w:r>
    </w:p>
    <w:tbl>
      <w:tblPr>
        <w:tblStyle w:val="15"/>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0"/>
      </w:tblGrid>
      <w:tr w14:paraId="258D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0" w:type="dxa"/>
            <w:noWrap w:val="0"/>
            <w:vAlign w:val="top"/>
          </w:tcPr>
          <w:p w14:paraId="7F61C9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专栏9-1  高质量充分就业工程</w:t>
            </w:r>
          </w:p>
        </w:tc>
      </w:tr>
      <w:tr w14:paraId="0819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0" w:type="dxa"/>
            <w:noWrap w:val="0"/>
            <w:vAlign w:val="top"/>
          </w:tcPr>
          <w:p w14:paraId="159AEDA3">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cs="Times New Roman"/>
                <w:b w:val="0"/>
                <w:bCs w:val="0"/>
                <w:color w:val="auto"/>
                <w:spacing w:val="0"/>
                <w:kern w:val="2"/>
                <w:sz w:val="24"/>
                <w:szCs w:val="24"/>
                <w:vertAlign w:val="baseline"/>
                <w:lang w:val="en-US" w:eastAsia="zh-CN" w:bidi="ar-SA"/>
              </w:rPr>
              <w:t>重点建设汉中市人力资源产业园、人力资源服务中心、</w:t>
            </w:r>
            <w:r>
              <w:rPr>
                <w:rFonts w:hint="default" w:ascii="Times New Roman" w:hAnsi="Times New Roman" w:eastAsia="仿宋_GB2312" w:cs="Times New Roman"/>
                <w:b w:val="0"/>
                <w:bCs w:val="0"/>
                <w:color w:val="auto"/>
                <w:spacing w:val="0"/>
                <w:kern w:val="2"/>
                <w:sz w:val="24"/>
                <w:szCs w:val="24"/>
                <w:vertAlign w:val="baseline"/>
                <w:lang w:val="en-US" w:eastAsia="zh-CN" w:bidi="ar-SA"/>
              </w:rPr>
              <w:t>智慧零工就业服务平台</w:t>
            </w:r>
            <w:r>
              <w:rPr>
                <w:rFonts w:hint="default" w:ascii="Times New Roman" w:hAnsi="Times New Roman" w:cs="Times New Roman"/>
                <w:b w:val="0"/>
                <w:bCs w:val="0"/>
                <w:color w:val="auto"/>
                <w:spacing w:val="0"/>
                <w:kern w:val="2"/>
                <w:sz w:val="24"/>
                <w:szCs w:val="24"/>
                <w:vertAlign w:val="baseline"/>
                <w:lang w:val="en-US" w:eastAsia="zh-CN" w:bidi="ar-SA"/>
              </w:rPr>
              <w:t>、城东新市民就业促进中心、</w:t>
            </w:r>
            <w:r>
              <w:rPr>
                <w:rFonts w:hint="default" w:ascii="Times New Roman" w:hAnsi="Times New Roman" w:eastAsia="仿宋_GB2312" w:cs="Times New Roman"/>
                <w:b w:val="0"/>
                <w:bCs w:val="0"/>
                <w:color w:val="auto"/>
                <w:spacing w:val="0"/>
                <w:kern w:val="2"/>
                <w:sz w:val="24"/>
                <w:szCs w:val="24"/>
                <w:vertAlign w:val="baseline"/>
                <w:lang w:val="en-US" w:eastAsia="zh-CN" w:bidi="ar-SA"/>
              </w:rPr>
              <w:t>新桥失地农民再就业中心</w:t>
            </w:r>
            <w:r>
              <w:rPr>
                <w:rFonts w:hint="default" w:ascii="Times New Roman" w:hAnsi="Times New Roman" w:cs="Times New Roman"/>
                <w:b w:val="0"/>
                <w:bCs w:val="0"/>
                <w:color w:val="auto"/>
                <w:spacing w:val="0"/>
                <w:kern w:val="2"/>
                <w:sz w:val="24"/>
                <w:szCs w:val="24"/>
                <w:vertAlign w:val="baseline"/>
                <w:lang w:val="en-US" w:eastAsia="zh-CN" w:bidi="ar-SA"/>
              </w:rPr>
              <w:t>等项目。</w:t>
            </w:r>
          </w:p>
        </w:tc>
      </w:tr>
    </w:tbl>
    <w:p w14:paraId="73EEFF01">
      <w:pPr>
        <w:jc w:val="center"/>
        <w:rPr>
          <w:rFonts w:hint="eastAsia" w:ascii="黑体" w:hAnsi="黑体" w:eastAsia="黑体" w:cs="黑体"/>
          <w:lang w:val="en-US" w:eastAsia="zh-CN"/>
        </w:rPr>
      </w:pPr>
      <w:bookmarkStart w:id="276" w:name="_Toc31034"/>
      <w:bookmarkStart w:id="277" w:name="_Toc24601"/>
      <w:bookmarkStart w:id="278" w:name="_Toc8969"/>
      <w:r>
        <w:rPr>
          <w:rFonts w:hint="eastAsia" w:ascii="黑体" w:hAnsi="黑体" w:eastAsia="黑体" w:cs="黑体"/>
          <w:lang w:val="en-US" w:eastAsia="zh-CN"/>
        </w:rPr>
        <w:t>第二节  办好人民满意的教育</w:t>
      </w:r>
      <w:bookmarkEnd w:id="276"/>
      <w:bookmarkEnd w:id="277"/>
      <w:bookmarkEnd w:id="278"/>
    </w:p>
    <w:p w14:paraId="784B06A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rPr>
        <w:t>全面贯彻党的教育方针，把立德树人作为教育的根本任务，深化教育</w:t>
      </w:r>
      <w:r>
        <w:rPr>
          <w:rFonts w:hint="default"/>
          <w:lang w:val="en-US" w:eastAsia="zh-CN"/>
        </w:rPr>
        <w:t>综合</w:t>
      </w:r>
      <w:r>
        <w:rPr>
          <w:rFonts w:hint="default"/>
        </w:rPr>
        <w:t>改革</w:t>
      </w:r>
      <w:r>
        <w:rPr>
          <w:rFonts w:hint="default"/>
          <w:lang w:eastAsia="zh-CN"/>
        </w:rPr>
        <w:t>，</w:t>
      </w:r>
      <w:r>
        <w:rPr>
          <w:rFonts w:hint="default"/>
          <w:lang w:val="en-US" w:eastAsia="zh-CN"/>
        </w:rPr>
        <w:t>统筹育人方式、办学模式、管理体制、保障机制改革，加快建成思想引领强、综合实力强、战略支撑强、服务方式强、开发带动强的教育强区。</w:t>
      </w:r>
    </w:p>
    <w:p w14:paraId="0B066689">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黑体" w:hAnsi="黑体" w:eastAsia="黑体" w:cs="黑体"/>
          <w:lang w:val="en-US" w:eastAsia="zh-CN"/>
        </w:rPr>
      </w:pPr>
      <w:bookmarkStart w:id="279" w:name="_Toc12237"/>
      <w:bookmarkStart w:id="280" w:name="_Toc28653"/>
      <w:r>
        <w:rPr>
          <w:rFonts w:hint="eastAsia" w:ascii="黑体" w:hAnsi="黑体" w:eastAsia="黑体" w:cs="黑体"/>
          <w:lang w:val="en-US" w:eastAsia="zh-CN"/>
        </w:rPr>
        <w:t>一、推动基础教育扩优提质</w:t>
      </w:r>
      <w:bookmarkEnd w:id="279"/>
      <w:bookmarkEnd w:id="280"/>
    </w:p>
    <w:p w14:paraId="6B6D732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楷体_GB2312" w:hAnsi="楷体_GB2312" w:eastAsia="楷体_GB2312" w:cs="楷体_GB2312"/>
          <w:lang w:val="en-US" w:eastAsia="zh-CN"/>
        </w:rPr>
        <w:t>促进学前教育普及普惠发展。</w:t>
      </w:r>
      <w:r>
        <w:rPr>
          <w:rFonts w:hint="default"/>
          <w:lang w:val="en-US" w:eastAsia="zh-CN"/>
        </w:rPr>
        <w:t>采用</w:t>
      </w:r>
      <w:r>
        <w:rPr>
          <w:rFonts w:hint="eastAsia"/>
          <w:lang w:val="en-US" w:eastAsia="zh-CN"/>
        </w:rPr>
        <w:t>“</w:t>
      </w:r>
      <w:r>
        <w:rPr>
          <w:rFonts w:hint="default"/>
          <w:lang w:val="en-US" w:eastAsia="zh-CN"/>
        </w:rPr>
        <w:t>优质园+一般园、示范园+新建园、名园+弱园</w:t>
      </w:r>
      <w:r>
        <w:rPr>
          <w:rFonts w:hint="eastAsia"/>
          <w:lang w:val="en-US" w:eastAsia="zh-CN"/>
        </w:rPr>
        <w:t>”</w:t>
      </w:r>
      <w:r>
        <w:rPr>
          <w:rFonts w:hint="default"/>
          <w:lang w:val="en-US" w:eastAsia="zh-CN"/>
        </w:rPr>
        <w:t>模式、推动幼儿园集团化办园和城乡一体化发展，构建</w:t>
      </w:r>
      <w:r>
        <w:rPr>
          <w:rFonts w:hint="eastAsia"/>
          <w:lang w:val="en-US" w:eastAsia="zh-CN"/>
        </w:rPr>
        <w:t>“</w:t>
      </w:r>
      <w:r>
        <w:rPr>
          <w:rFonts w:hint="default"/>
          <w:lang w:val="en-US" w:eastAsia="zh-CN"/>
        </w:rPr>
        <w:t>全覆盖、高品质、多样化</w:t>
      </w:r>
      <w:r>
        <w:rPr>
          <w:rFonts w:hint="eastAsia"/>
          <w:lang w:val="en-US" w:eastAsia="zh-CN"/>
        </w:rPr>
        <w:t>”</w:t>
      </w:r>
      <w:r>
        <w:rPr>
          <w:rFonts w:hint="default"/>
          <w:lang w:val="en-US" w:eastAsia="zh-CN"/>
        </w:rPr>
        <w:t>的学前教育服务体系，持续推动省级示范园创建，试点开展学前教育督学责任区建设，科学做好</w:t>
      </w:r>
      <w:r>
        <w:rPr>
          <w:rFonts w:hint="eastAsia"/>
          <w:lang w:val="en-US" w:eastAsia="zh-CN"/>
        </w:rPr>
        <w:t>“</w:t>
      </w:r>
      <w:r>
        <w:rPr>
          <w:rFonts w:hint="default"/>
          <w:lang w:val="en-US" w:eastAsia="zh-CN"/>
        </w:rPr>
        <w:t>幼小衔接</w:t>
      </w:r>
      <w:r>
        <w:rPr>
          <w:rFonts w:hint="eastAsia"/>
          <w:lang w:val="en-US" w:eastAsia="zh-CN"/>
        </w:rPr>
        <w:t>”</w:t>
      </w:r>
      <w:r>
        <w:rPr>
          <w:rFonts w:hint="default"/>
          <w:lang w:val="en-US" w:eastAsia="zh-CN"/>
        </w:rPr>
        <w:t>，加快通过学前教育普及普惠区省级评估认定。到2030年，普惠性幼儿园覆盖率保持在90%以上。</w:t>
      </w:r>
    </w:p>
    <w:p w14:paraId="5C1CC1C9">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推进义务教育优质均衡发展。</w:t>
      </w:r>
      <w:r>
        <w:rPr>
          <w:rFonts w:hint="default"/>
          <w:lang w:val="en-US" w:eastAsia="zh-CN"/>
        </w:rPr>
        <w:t>健全与人口变化相适应的教育资源配置机制，修订完善《汉台区中小幼布局专项规划（2026—2035年）》，做好新建龙亭路小学、实验小学扩容提质、宏峰学校改扩建、东塔小学东校区改扩建等项目规划；深化集团化办学改革，探索</w:t>
      </w:r>
      <w:r>
        <w:rPr>
          <w:rFonts w:hint="eastAsia"/>
          <w:lang w:val="en-US" w:eastAsia="zh-CN"/>
        </w:rPr>
        <w:t>“</w:t>
      </w:r>
      <w:r>
        <w:rPr>
          <w:rFonts w:hint="default"/>
          <w:lang w:val="en-US" w:eastAsia="zh-CN"/>
        </w:rPr>
        <w:t>名校+</w:t>
      </w:r>
      <w:r>
        <w:rPr>
          <w:rFonts w:hint="eastAsia"/>
          <w:lang w:val="en-US" w:eastAsia="zh-CN"/>
        </w:rPr>
        <w:t>”</w:t>
      </w:r>
      <w:r>
        <w:rPr>
          <w:rFonts w:hint="default"/>
          <w:lang w:val="en-US" w:eastAsia="zh-CN"/>
        </w:rPr>
        <w:t>办学模式，推进汉四中鑫源校区和汉八中老君校区改扩建项目，扩大寄宿制办学规模，进一步提高教育质量。优化教育资源配置，扩大优质学位供给，促进教育公平。顺利通过国家义务教育优质均衡发展区评估认定。</w:t>
      </w:r>
    </w:p>
    <w:p w14:paraId="0319828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推动高中教育扩优提质发展。</w:t>
      </w:r>
      <w:r>
        <w:rPr>
          <w:rFonts w:hint="default"/>
          <w:lang w:val="en-US" w:eastAsia="zh-CN"/>
        </w:rPr>
        <w:t>全面落实普通高中新课程改革和高考综合改革，加强普通高中课程体系建设，丰富选修课程，培育优势学科，打造办学特色，推动汉台中学、汉台二中、铺镇中学分层发展转向分类发展。有序实施选课走班教学，注重创新意识和创新能力培养，促进学生全面而有个性发展。</w:t>
      </w:r>
    </w:p>
    <w:p w14:paraId="270040FA">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加快职业教育创新发展。</w:t>
      </w:r>
      <w:r>
        <w:rPr>
          <w:rFonts w:hint="default"/>
          <w:lang w:val="en-US" w:eastAsia="zh-CN"/>
        </w:rPr>
        <w:t>加快汉中市第一职业中专建设，优化专业设置、加强技能培训，深入推进与高职院校合作中高职五年贯通制衔接教育，拓宽中等职业学校毕业生升学渠道，提高升学比例。提高实训基地规划和管理水平，探索创新实训基地运营模式，为社会公众、职业院校在校生取得职业技能等级证书和企业提升人力资源水平提供有力支撑。到2030年，打造2个具有辐射引领作用的高水平专业化产教融合实训基地。</w:t>
      </w:r>
    </w:p>
    <w:p w14:paraId="02C1455A">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统筹其他教育发展。</w:t>
      </w:r>
      <w:r>
        <w:rPr>
          <w:rFonts w:hint="default"/>
          <w:lang w:val="en-US" w:eastAsia="zh-CN"/>
        </w:rPr>
        <w:t>推进特殊教育优质融合发展，建设好特殊教育资源中心，健全</w:t>
      </w:r>
      <w:r>
        <w:rPr>
          <w:rFonts w:hint="eastAsia"/>
          <w:lang w:val="en-US" w:eastAsia="zh-CN"/>
        </w:rPr>
        <w:t>“</w:t>
      </w:r>
      <w:r>
        <w:rPr>
          <w:rFonts w:hint="default"/>
          <w:lang w:val="en-US" w:eastAsia="zh-CN"/>
        </w:rPr>
        <w:t>送教上门</w:t>
      </w:r>
      <w:r>
        <w:rPr>
          <w:rFonts w:hint="eastAsia"/>
          <w:lang w:val="en-US" w:eastAsia="zh-CN"/>
        </w:rPr>
        <w:t>”</w:t>
      </w:r>
      <w:r>
        <w:rPr>
          <w:rFonts w:hint="default"/>
          <w:lang w:val="en-US" w:eastAsia="zh-CN"/>
        </w:rPr>
        <w:t>工作机制，保障重度、极重度残疾儿童受教育权，适龄残疾儿童少年入学率保持在95%以上。规范民办教育、专门教育。积极推进继续教育、社区教育、老年教育发展，构建泛在可及的终身教育体系。</w:t>
      </w:r>
    </w:p>
    <w:p w14:paraId="43A46AD4">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黑体" w:hAnsi="黑体" w:eastAsia="黑体" w:cs="黑体"/>
          <w:lang w:val="en-US" w:eastAsia="zh-CN"/>
        </w:rPr>
      </w:pPr>
      <w:bookmarkStart w:id="281" w:name="_Toc10412"/>
      <w:bookmarkStart w:id="282" w:name="_Toc32657"/>
      <w:r>
        <w:rPr>
          <w:rFonts w:hint="default" w:ascii="黑体" w:hAnsi="黑体" w:eastAsia="黑体" w:cs="黑体"/>
          <w:lang w:val="en-US" w:eastAsia="zh-CN"/>
        </w:rPr>
        <w:t>二、实施新时代立德树人工程</w:t>
      </w:r>
      <w:bookmarkEnd w:id="281"/>
      <w:bookmarkEnd w:id="282"/>
    </w:p>
    <w:p w14:paraId="584C013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建立</w:t>
      </w:r>
      <w:r>
        <w:rPr>
          <w:rFonts w:hint="eastAsia" w:ascii="楷体_GB2312" w:hAnsi="楷体_GB2312" w:eastAsia="楷体_GB2312" w:cs="楷体_GB2312"/>
          <w:lang w:val="en-US" w:eastAsia="zh-CN"/>
        </w:rPr>
        <w:t>“</w:t>
      </w:r>
      <w:r>
        <w:rPr>
          <w:rFonts w:hint="default" w:ascii="楷体_GB2312" w:hAnsi="楷体_GB2312" w:eastAsia="楷体_GB2312" w:cs="楷体_GB2312"/>
          <w:lang w:val="en-US" w:eastAsia="zh-CN"/>
        </w:rPr>
        <w:t>五育</w:t>
      </w:r>
      <w:r>
        <w:rPr>
          <w:rFonts w:hint="eastAsia" w:ascii="楷体_GB2312" w:hAnsi="楷体_GB2312" w:eastAsia="楷体_GB2312" w:cs="楷体_GB2312"/>
          <w:lang w:val="en-US" w:eastAsia="zh-CN"/>
        </w:rPr>
        <w:t>”</w:t>
      </w:r>
      <w:r>
        <w:rPr>
          <w:rFonts w:hint="default" w:ascii="楷体_GB2312" w:hAnsi="楷体_GB2312" w:eastAsia="楷体_GB2312" w:cs="楷体_GB2312"/>
          <w:lang w:val="en-US" w:eastAsia="zh-CN"/>
        </w:rPr>
        <w:t>并举育人体系。</w:t>
      </w:r>
      <w:r>
        <w:rPr>
          <w:rFonts w:hint="default"/>
          <w:lang w:val="en-US" w:eastAsia="zh-CN"/>
        </w:rPr>
        <w:t>强化思政课作为立德树人关键课程的作用，推进学校思政课建设。加强爱国主义教育和理想信念教育，创建德育特色示范学校。配齐配强体育教师，实施</w:t>
      </w:r>
      <w:r>
        <w:rPr>
          <w:rFonts w:hint="eastAsia"/>
          <w:lang w:val="en-US" w:eastAsia="zh-CN"/>
        </w:rPr>
        <w:t>“</w:t>
      </w:r>
      <w:r>
        <w:rPr>
          <w:rFonts w:hint="default"/>
          <w:lang w:val="en-US" w:eastAsia="zh-CN"/>
        </w:rPr>
        <w:t>阳光体育运动</w:t>
      </w:r>
      <w:r>
        <w:rPr>
          <w:rFonts w:hint="eastAsia"/>
          <w:lang w:val="en-US" w:eastAsia="zh-CN"/>
        </w:rPr>
        <w:t>”</w:t>
      </w:r>
      <w:r>
        <w:rPr>
          <w:rFonts w:hint="default"/>
          <w:lang w:val="en-US" w:eastAsia="zh-CN"/>
        </w:rPr>
        <w:t>，</w:t>
      </w:r>
      <w:r>
        <w:rPr>
          <w:rFonts w:hint="default"/>
        </w:rPr>
        <w:t>定期组织举办青少年体育系列比赛，常态化开展学校体育比赛、运动会，积极创建</w:t>
      </w:r>
      <w:r>
        <w:rPr>
          <w:rFonts w:hint="eastAsia"/>
          <w:lang w:eastAsia="zh-CN"/>
        </w:rPr>
        <w:t>“</w:t>
      </w:r>
      <w:r>
        <w:rPr>
          <w:rFonts w:hint="default"/>
        </w:rPr>
        <w:t>一校一品</w:t>
      </w:r>
      <w:r>
        <w:rPr>
          <w:rFonts w:hint="eastAsia"/>
          <w:lang w:eastAsia="zh-CN"/>
        </w:rPr>
        <w:t>”</w:t>
      </w:r>
      <w:r>
        <w:rPr>
          <w:rFonts w:hint="default"/>
        </w:rPr>
        <w:t>体育特色学校、体育传统项目学校，广泛开展青少年体育冬夏令营等活动，让全体学生掌握2项及以上体育运动技能</w:t>
      </w:r>
      <w:r>
        <w:rPr>
          <w:rFonts w:hint="default"/>
          <w:lang w:eastAsia="zh-CN"/>
        </w:rPr>
        <w:t>，</w:t>
      </w:r>
      <w:r>
        <w:rPr>
          <w:rFonts w:hint="default"/>
          <w:lang w:val="en-US" w:eastAsia="zh-CN"/>
        </w:rPr>
        <w:t>加强学生近视防控。增强美育熏陶，建立完善课堂教学、课外实践、校园文化建设、艺术展演</w:t>
      </w:r>
      <w:r>
        <w:rPr>
          <w:rFonts w:hint="eastAsia"/>
          <w:lang w:val="en-US" w:eastAsia="zh-CN"/>
        </w:rPr>
        <w:t>“</w:t>
      </w:r>
      <w:r>
        <w:rPr>
          <w:rFonts w:hint="default"/>
          <w:lang w:val="en-US" w:eastAsia="zh-CN"/>
        </w:rPr>
        <w:t>四位一体</w:t>
      </w:r>
      <w:r>
        <w:rPr>
          <w:rFonts w:hint="eastAsia"/>
          <w:lang w:val="en-US" w:eastAsia="zh-CN"/>
        </w:rPr>
        <w:t>”</w:t>
      </w:r>
      <w:r>
        <w:rPr>
          <w:rFonts w:hint="default"/>
          <w:lang w:val="en-US" w:eastAsia="zh-CN"/>
        </w:rPr>
        <w:t>的融合机制。建设标准化心理辅导室，配齐专职心理教师，常态化开展心理健康普查与个体辅导，构建全方位心理支持体系。开设劳动教育必修课程，培养学生良好劳动习惯和品质，全面提高学生劳动素养。到2030年，打造2</w:t>
      </w:r>
      <w:r>
        <w:rPr>
          <w:rFonts w:hint="eastAsia"/>
          <w:lang w:val="en-US" w:eastAsia="zh-CN"/>
        </w:rPr>
        <w:t>—</w:t>
      </w:r>
      <w:r>
        <w:rPr>
          <w:rFonts w:hint="default"/>
          <w:lang w:val="en-US" w:eastAsia="zh-CN"/>
        </w:rPr>
        <w:t>3所体育特色示范学校，培育2</w:t>
      </w:r>
      <w:r>
        <w:rPr>
          <w:rFonts w:hint="eastAsia"/>
          <w:lang w:val="en-US" w:eastAsia="zh-CN"/>
        </w:rPr>
        <w:t>—</w:t>
      </w:r>
      <w:r>
        <w:rPr>
          <w:rFonts w:hint="default"/>
          <w:lang w:val="en-US" w:eastAsia="zh-CN"/>
        </w:rPr>
        <w:t>3个学校美育示范基地，建设3</w:t>
      </w:r>
      <w:r>
        <w:rPr>
          <w:rFonts w:hint="eastAsia"/>
          <w:lang w:val="en-US" w:eastAsia="zh-CN"/>
        </w:rPr>
        <w:t>—</w:t>
      </w:r>
      <w:r>
        <w:rPr>
          <w:rFonts w:hint="default"/>
          <w:lang w:val="en-US" w:eastAsia="zh-CN"/>
        </w:rPr>
        <w:t>4所劳动实践教育示范学校，各中小学校建立不少于1个劳动教育实践基地。</w:t>
      </w:r>
    </w:p>
    <w:p w14:paraId="5800C77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健全教育质量管理机制。</w:t>
      </w:r>
      <w:r>
        <w:rPr>
          <w:rFonts w:hint="default"/>
          <w:lang w:val="en-US" w:eastAsia="zh-CN"/>
        </w:rPr>
        <w:t>加强教研机构建设。开展</w:t>
      </w:r>
      <w:r>
        <w:rPr>
          <w:rFonts w:hint="eastAsia"/>
          <w:lang w:val="en-US" w:eastAsia="zh-CN"/>
        </w:rPr>
        <w:t>“</w:t>
      </w:r>
      <w:r>
        <w:rPr>
          <w:rFonts w:hint="default"/>
          <w:lang w:val="en-US" w:eastAsia="zh-CN"/>
        </w:rPr>
        <w:t>五育融合</w:t>
      </w:r>
      <w:r>
        <w:rPr>
          <w:rFonts w:hint="eastAsia"/>
          <w:lang w:val="en-US" w:eastAsia="zh-CN"/>
        </w:rPr>
        <w:t>”</w:t>
      </w:r>
      <w:r>
        <w:rPr>
          <w:rFonts w:hint="default"/>
          <w:lang w:val="en-US" w:eastAsia="zh-CN"/>
        </w:rPr>
        <w:t>育人质量监测，引导全社会树立正确的教育质量观。将各类幼儿园纳入质量评估范畴，完善义务教育质量年度报告制度和反馈改进机制，加强普通高中教育质量管理，积极评价职业学校德技并修、产教融合、校企合作、学生获取职业资格或职业技能等级证书、毕业生就业质量、</w:t>
      </w:r>
      <w:r>
        <w:rPr>
          <w:rFonts w:hint="eastAsia"/>
          <w:lang w:val="en-US" w:eastAsia="zh-CN"/>
        </w:rPr>
        <w:t>“</w:t>
      </w:r>
      <w:r>
        <w:rPr>
          <w:rFonts w:hint="default"/>
          <w:lang w:val="en-US" w:eastAsia="zh-CN"/>
        </w:rPr>
        <w:t>双师型</w:t>
      </w:r>
      <w:r>
        <w:rPr>
          <w:rFonts w:hint="eastAsia"/>
          <w:lang w:val="en-US" w:eastAsia="zh-CN"/>
        </w:rPr>
        <w:t>”</w:t>
      </w:r>
      <w:r>
        <w:rPr>
          <w:rFonts w:hint="default"/>
          <w:lang w:val="en-US" w:eastAsia="zh-CN"/>
        </w:rPr>
        <w:t>教师队伍建设等情况。</w:t>
      </w:r>
    </w:p>
    <w:p w14:paraId="17C6C27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黑体" w:hAnsi="黑体" w:eastAsia="黑体" w:cs="黑体"/>
          <w:lang w:val="en-US" w:eastAsia="zh-CN"/>
        </w:rPr>
      </w:pPr>
      <w:bookmarkStart w:id="283" w:name="_Toc21281"/>
      <w:bookmarkStart w:id="284" w:name="_Toc2826"/>
      <w:r>
        <w:rPr>
          <w:rFonts w:hint="default" w:ascii="黑体" w:hAnsi="黑体" w:eastAsia="黑体" w:cs="黑体"/>
          <w:lang w:val="en-US" w:eastAsia="zh-CN"/>
        </w:rPr>
        <w:t>三、加强高素质教师队伍建设</w:t>
      </w:r>
      <w:bookmarkEnd w:id="283"/>
      <w:bookmarkEnd w:id="284"/>
    </w:p>
    <w:p w14:paraId="66D8B08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加强师德师风建设。</w:t>
      </w:r>
      <w:r>
        <w:rPr>
          <w:rFonts w:hint="default"/>
        </w:rPr>
        <w:t>把师德师风作为评价教师队伍素质的第一标准，落实教育行政部门主体责任和校园长第一责任人责任。</w:t>
      </w:r>
      <w:r>
        <w:rPr>
          <w:rFonts w:hint="default"/>
          <w:lang w:val="en-US" w:eastAsia="zh-CN"/>
        </w:rPr>
        <w:t>提升教书育人能力。加强校长队伍、班主任队伍、骨干名优教师队伍建设，强化农村教师队伍建设，加大对各层级教师培训，</w:t>
      </w:r>
      <w:r>
        <w:rPr>
          <w:rFonts w:hint="default"/>
        </w:rPr>
        <w:t>有计划组织校长、骨干教师、优秀教师赴教育发达地区学习提高</w:t>
      </w:r>
      <w:r>
        <w:rPr>
          <w:rFonts w:hint="default"/>
          <w:lang w:val="en-US" w:eastAsia="zh-CN"/>
        </w:rPr>
        <w:t>。补足配齐各类师资。建立教育系统编制动态调整机制，大力引进</w:t>
      </w:r>
      <w:r>
        <w:rPr>
          <w:rFonts w:hint="eastAsia"/>
          <w:lang w:val="en-US" w:eastAsia="zh-CN"/>
        </w:rPr>
        <w:t>“</w:t>
      </w:r>
      <w:r>
        <w:rPr>
          <w:rFonts w:hint="default"/>
          <w:lang w:val="en-US" w:eastAsia="zh-CN"/>
        </w:rPr>
        <w:t>双一流</w:t>
      </w:r>
      <w:r>
        <w:rPr>
          <w:rFonts w:hint="eastAsia"/>
          <w:lang w:val="en-US" w:eastAsia="zh-CN"/>
        </w:rPr>
        <w:t>”</w:t>
      </w:r>
      <w:r>
        <w:rPr>
          <w:rFonts w:hint="default"/>
          <w:lang w:val="en-US" w:eastAsia="zh-CN"/>
        </w:rPr>
        <w:t>大学和教育部直属师范院校优秀毕业生到汉台任教，加大中小学紧缺学科教师补充力度，城镇学校、优质学校每年教师交流轮岗的比例不低于符合交流轮岗条件教师总数的10%。保障教师福利待遇。健全公办中小学教师工资与公务员工资增长长效联动机制。不断增强教师获得感、荣誉感、幸福感，吸引更多优秀人才热心从教、精心从教、长期从教、终身从教。</w:t>
      </w:r>
    </w:p>
    <w:p w14:paraId="4B09119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黑体" w:hAnsi="黑体" w:eastAsia="黑体" w:cs="黑体"/>
          <w:lang w:val="en-US" w:eastAsia="zh-CN"/>
        </w:rPr>
      </w:pPr>
      <w:bookmarkStart w:id="285" w:name="_Toc11825"/>
      <w:bookmarkStart w:id="286" w:name="_Toc30697"/>
      <w:r>
        <w:rPr>
          <w:rFonts w:hint="eastAsia" w:ascii="黑体" w:hAnsi="黑体" w:eastAsia="黑体" w:cs="黑体"/>
          <w:lang w:val="en-US" w:eastAsia="zh-CN"/>
        </w:rPr>
        <w:t>四、构建安全和谐的教育环境</w:t>
      </w:r>
      <w:bookmarkEnd w:id="285"/>
      <w:bookmarkEnd w:id="286"/>
    </w:p>
    <w:p w14:paraId="511083A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完善校园安全责任体系建设，压实各镇（街道）、区直有关职能部门和各级各类学校责任。严格执行对学校食堂、供餐企业等全覆盖检查与动态抽查制度，全面提升校园食品安全全链条风险防控能力，确保校园餐成为师生满意的安全餐、放心餐、营养餐。建立健全校园安全管理制度，深入开展防溺水、防欺凌等专项治理行动。开展校园及周边安全隐患排查整治，净化校园周边环境，扎实推进上放学时段护学岗</w:t>
      </w:r>
      <w:r>
        <w:rPr>
          <w:rFonts w:hint="eastAsia"/>
          <w:lang w:val="en-US" w:eastAsia="zh-CN"/>
        </w:rPr>
        <w:t>“</w:t>
      </w:r>
      <w:r>
        <w:rPr>
          <w:rFonts w:hint="default"/>
          <w:lang w:val="en-US" w:eastAsia="zh-CN"/>
        </w:rPr>
        <w:t>警+N</w:t>
      </w:r>
      <w:r>
        <w:rPr>
          <w:rFonts w:hint="eastAsia"/>
          <w:lang w:val="en-US" w:eastAsia="zh-CN"/>
        </w:rPr>
        <w:t>”</w:t>
      </w:r>
      <w:r>
        <w:rPr>
          <w:rFonts w:hint="default"/>
          <w:lang w:val="en-US" w:eastAsia="zh-CN"/>
        </w:rPr>
        <w:t>及</w:t>
      </w:r>
      <w:r>
        <w:rPr>
          <w:rFonts w:hint="eastAsia"/>
          <w:lang w:val="en-US" w:eastAsia="zh-CN"/>
        </w:rPr>
        <w:t>“</w:t>
      </w:r>
      <w:r>
        <w:rPr>
          <w:rFonts w:hint="default"/>
          <w:lang w:val="en-US" w:eastAsia="zh-CN"/>
        </w:rPr>
        <w:t>N</w:t>
      </w:r>
      <w:r>
        <w:rPr>
          <w:rFonts w:hint="eastAsia"/>
          <w:lang w:val="en-US" w:eastAsia="zh-CN"/>
        </w:rPr>
        <w:t>”</w:t>
      </w:r>
      <w:r>
        <w:rPr>
          <w:rFonts w:hint="default"/>
          <w:lang w:val="en-US" w:eastAsia="zh-CN"/>
        </w:rPr>
        <w:t>模式。推进校园智慧安防建设，提升校园安全综合治理能力。</w:t>
      </w:r>
    </w:p>
    <w:p w14:paraId="767F62BC">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黑体" w:hAnsi="黑体" w:eastAsia="黑体" w:cs="黑体"/>
          <w:lang w:val="en-US" w:eastAsia="zh-CN"/>
        </w:rPr>
      </w:pPr>
      <w:bookmarkStart w:id="287" w:name="_Toc4713"/>
      <w:r>
        <w:rPr>
          <w:rFonts w:hint="default" w:ascii="黑体" w:hAnsi="黑体" w:eastAsia="黑体" w:cs="黑体"/>
          <w:lang w:val="en-US" w:eastAsia="zh-CN"/>
        </w:rPr>
        <w:t>五、推动体育事业高质量发展</w:t>
      </w:r>
      <w:bookmarkEnd w:id="287"/>
    </w:p>
    <w:p w14:paraId="2208BB83">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default"/>
          <w:lang w:val="en-US" w:eastAsia="zh-CN"/>
        </w:rPr>
        <w:t>提升竞技体育综合实力。做好大赛参赛备战，积极备战省</w:t>
      </w:r>
      <w:r>
        <w:rPr>
          <w:rFonts w:hint="eastAsia"/>
          <w:lang w:val="en-US" w:eastAsia="zh-CN"/>
        </w:rPr>
        <w:t>“</w:t>
      </w:r>
      <w:r>
        <w:rPr>
          <w:rFonts w:hint="default"/>
          <w:lang w:val="en-US" w:eastAsia="zh-CN"/>
        </w:rPr>
        <w:t>一冬会</w:t>
      </w:r>
      <w:r>
        <w:rPr>
          <w:rFonts w:hint="eastAsia"/>
          <w:lang w:val="en-US" w:eastAsia="zh-CN"/>
        </w:rPr>
        <w:t>”</w:t>
      </w:r>
      <w:r>
        <w:rPr>
          <w:rFonts w:hint="default"/>
          <w:lang w:val="en-US" w:eastAsia="zh-CN"/>
        </w:rPr>
        <w:t>、省十八和十九运会，确保参赛成绩实现新突破。健全完善</w:t>
      </w:r>
      <w:r>
        <w:rPr>
          <w:rFonts w:hint="default"/>
        </w:rPr>
        <w:t>镇（街道）、村（社区）体育健身设施</w:t>
      </w:r>
      <w:r>
        <w:rPr>
          <w:rFonts w:hint="default"/>
          <w:lang w:eastAsia="zh-CN"/>
        </w:rPr>
        <w:t>，</w:t>
      </w:r>
      <w:r>
        <w:rPr>
          <w:rFonts w:hint="default"/>
          <w:rtl w:val="0"/>
          <w:lang w:val="en-US" w:eastAsia="zh-CN"/>
        </w:rPr>
        <w:t>因地制宜建设小型多功能运动场、便民健身广场。加快山地徒步、骑行、水上运动、露营基地等户外运动设施及配套建设，打造多业态融合、种类丰富的户外运动线路，推动体旅融合发展。大力发展赛事经济，持续办好花海马拉松、山地自行车赛等精品赛事，</w:t>
      </w:r>
      <w:r>
        <w:rPr>
          <w:rFonts w:hint="default"/>
          <w:lang w:val="en-US" w:eastAsia="zh-CN"/>
        </w:rPr>
        <w:t>推进山地运动、水上运动等国内知名体育赛事落户汉台。</w:t>
      </w:r>
      <w:r>
        <w:rPr>
          <w:rFonts w:hint="default"/>
        </w:rPr>
        <w:t>培养学生多元体育技能。定期组织举办青少年体育系列比赛。</w:t>
      </w:r>
    </w:p>
    <w:tbl>
      <w:tblPr>
        <w:tblStyle w:val="15"/>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0"/>
      </w:tblGrid>
      <w:tr w14:paraId="29F1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0" w:type="dxa"/>
            <w:noWrap w:val="0"/>
            <w:vAlign w:val="top"/>
          </w:tcPr>
          <w:p w14:paraId="57B80A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专栏9-2  教育强区建设工程</w:t>
            </w:r>
          </w:p>
        </w:tc>
      </w:tr>
      <w:tr w14:paraId="4131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0" w:type="dxa"/>
            <w:noWrap w:val="0"/>
            <w:vAlign w:val="top"/>
          </w:tcPr>
          <w:p w14:paraId="2E9E39BC">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基础教育提升工程。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重点实施汉中市北大街小学、汉中市东塔小学教育集团东校区、汉中市宏峰学校、汉四中教育集团</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鑫源校区</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、汉八中教育集团</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老君校区</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、青龙观小学及幼儿园等改扩建项目；新建汉台中学科技实验楼</w:t>
            </w:r>
            <w:r>
              <w:rPr>
                <w:rFonts w:hint="default" w:ascii="Times New Roman" w:hAnsi="Times New Roman" w:cs="Times New Roman"/>
                <w:b w:val="0"/>
                <w:bCs w:val="0"/>
                <w:color w:val="auto"/>
                <w:spacing w:val="0"/>
                <w:kern w:val="2"/>
                <w:sz w:val="24"/>
                <w:szCs w:val="24"/>
                <w:vertAlign w:val="baseline"/>
                <w:lang w:val="en-US" w:eastAsia="zh-CN" w:bidi="ar-SA"/>
              </w:rPr>
              <w:t>及</w:t>
            </w:r>
            <w:r>
              <w:rPr>
                <w:rFonts w:hint="default" w:ascii="Times New Roman" w:hAnsi="Times New Roman" w:eastAsia="仿宋_GB2312" w:cs="Times New Roman"/>
                <w:b w:val="0"/>
                <w:bCs w:val="0"/>
                <w:color w:val="auto"/>
                <w:spacing w:val="0"/>
                <w:kern w:val="2"/>
                <w:sz w:val="24"/>
                <w:szCs w:val="24"/>
                <w:vertAlign w:val="baseline"/>
                <w:lang w:val="en-US" w:eastAsia="zh-CN" w:bidi="ar-SA"/>
              </w:rPr>
              <w:t>学生公寓楼、汉台二中教学楼</w:t>
            </w:r>
            <w:r>
              <w:rPr>
                <w:rFonts w:hint="default" w:ascii="Times New Roman" w:hAnsi="Times New Roman" w:cs="Times New Roman"/>
                <w:b w:val="0"/>
                <w:bCs w:val="0"/>
                <w:color w:val="auto"/>
                <w:spacing w:val="0"/>
                <w:kern w:val="2"/>
                <w:sz w:val="24"/>
                <w:szCs w:val="24"/>
                <w:vertAlign w:val="baseline"/>
                <w:lang w:val="en-US" w:eastAsia="zh-CN" w:bidi="ar-SA"/>
              </w:rPr>
              <w:t>及</w:t>
            </w:r>
            <w:r>
              <w:rPr>
                <w:rFonts w:hint="default" w:ascii="Times New Roman" w:hAnsi="Times New Roman" w:eastAsia="仿宋_GB2312" w:cs="Times New Roman"/>
                <w:b w:val="0"/>
                <w:bCs w:val="0"/>
                <w:color w:val="auto"/>
                <w:spacing w:val="0"/>
                <w:kern w:val="2"/>
                <w:sz w:val="24"/>
                <w:szCs w:val="24"/>
                <w:vertAlign w:val="baseline"/>
                <w:lang w:val="en-US" w:eastAsia="zh-CN" w:bidi="ar-SA"/>
              </w:rPr>
              <w:t>实验综合楼、汉中市育新学校、城区学校智慧校园等项目；在城东片区新建汉台区龙亭路小学、一职中专新校区等项目。</w:t>
            </w:r>
          </w:p>
          <w:p w14:paraId="3CDCAC7F">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教育扩优提质工程。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重点建设陕西理工大学南校区扩建（二期）、汉中职业技术学院师生楼、陕西航空技师学院就业技能提升培训公共实训基地、陕西省机械高级技工学校改扩建、汉中市汉台区产教融合基地</w:t>
            </w:r>
            <w:r>
              <w:rPr>
                <w:rFonts w:hint="default" w:ascii="Times New Roman" w:hAnsi="Times New Roman" w:cs="Times New Roman"/>
                <w:b w:val="0"/>
                <w:bCs w:val="0"/>
                <w:color w:val="auto"/>
                <w:spacing w:val="0"/>
                <w:kern w:val="2"/>
                <w:sz w:val="24"/>
                <w:szCs w:val="24"/>
                <w:vertAlign w:val="baseline"/>
                <w:lang w:val="en-US" w:eastAsia="zh-CN" w:bidi="ar-SA"/>
              </w:rPr>
              <w:t>等项目。</w:t>
            </w:r>
          </w:p>
          <w:p w14:paraId="61C4BE12">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cs="Times New Roman"/>
                <w:color w:val="auto"/>
                <w:lang w:val="en-US" w:eastAsia="zh-CN"/>
              </w:rPr>
            </w:pPr>
            <w:r>
              <w:rPr>
                <w:rFonts w:hint="default" w:ascii="Times New Roman" w:hAnsi="Times New Roman" w:eastAsia="仿宋_GB2312" w:cs="Times New Roman"/>
                <w:b/>
                <w:bCs/>
                <w:color w:val="auto"/>
                <w:spacing w:val="0"/>
                <w:kern w:val="2"/>
                <w:sz w:val="24"/>
                <w:szCs w:val="24"/>
                <w:vertAlign w:val="baseline"/>
                <w:lang w:val="en-US" w:eastAsia="zh-CN" w:bidi="ar-SA"/>
              </w:rPr>
              <w:t>体育事业发展工程。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重点建设群众活动空间扩容</w:t>
            </w:r>
            <w:r>
              <w:rPr>
                <w:rFonts w:hint="default"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体育运动中心二期、</w:t>
            </w:r>
            <w:r>
              <w:rPr>
                <w:rFonts w:hint="default" w:ascii="Times New Roman" w:hAnsi="Times New Roman" w:cs="Times New Roman"/>
                <w:b w:val="0"/>
                <w:bCs w:val="0"/>
                <w:color w:val="auto"/>
                <w:spacing w:val="0"/>
                <w:kern w:val="2"/>
                <w:sz w:val="24"/>
                <w:szCs w:val="24"/>
                <w:vertAlign w:val="baseline"/>
                <w:lang w:val="en-US" w:eastAsia="zh-CN" w:bidi="ar-SA"/>
              </w:rPr>
              <w:t>天汉大桥北广场小型体育综合体、户外运动公共服务设施、城东沿江体育运动带、汉中水上赛展中心、武乡镇青少年公路自行车赛训练营地</w:t>
            </w:r>
            <w:r>
              <w:rPr>
                <w:rFonts w:hint="default" w:ascii="Times New Roman" w:hAnsi="Times New Roman" w:eastAsia="仿宋_GB2312" w:cs="Times New Roman"/>
                <w:b w:val="0"/>
                <w:bCs w:val="0"/>
                <w:color w:val="auto"/>
                <w:spacing w:val="0"/>
                <w:kern w:val="2"/>
                <w:sz w:val="24"/>
                <w:szCs w:val="24"/>
                <w:vertAlign w:val="baseline"/>
                <w:lang w:val="en-US" w:eastAsia="zh-CN" w:bidi="ar-SA"/>
              </w:rPr>
              <w:t>等项目。</w:t>
            </w:r>
          </w:p>
        </w:tc>
      </w:tr>
    </w:tbl>
    <w:p w14:paraId="5CE83D05">
      <w:pPr>
        <w:jc w:val="center"/>
        <w:rPr>
          <w:rFonts w:hint="eastAsia" w:ascii="黑体" w:hAnsi="黑体" w:eastAsia="黑体" w:cs="黑体"/>
          <w:lang w:val="en-US" w:eastAsia="zh-CN"/>
        </w:rPr>
      </w:pPr>
      <w:bookmarkStart w:id="288" w:name="_Toc4582"/>
      <w:bookmarkStart w:id="289" w:name="_Toc30296"/>
      <w:bookmarkStart w:id="290" w:name="_Toc14182"/>
      <w:r>
        <w:rPr>
          <w:rFonts w:hint="eastAsia" w:ascii="黑体" w:hAnsi="黑体" w:eastAsia="黑体" w:cs="黑体"/>
          <w:lang w:val="en-US" w:eastAsia="zh-CN"/>
        </w:rPr>
        <w:t>第三节  加快建设“健康汉台</w:t>
      </w:r>
      <w:bookmarkEnd w:id="288"/>
      <w:bookmarkEnd w:id="289"/>
      <w:bookmarkEnd w:id="290"/>
      <w:r>
        <w:rPr>
          <w:rFonts w:hint="eastAsia" w:ascii="黑体" w:hAnsi="黑体" w:eastAsia="黑体" w:cs="黑体"/>
          <w:lang w:val="en-US" w:eastAsia="zh-CN"/>
        </w:rPr>
        <w:t>”</w:t>
      </w:r>
    </w:p>
    <w:p w14:paraId="7A5B27E3">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default"/>
        </w:rPr>
        <w:t>把保障人民健康放在优先发展位置，坚持预防为主，防治结合，倡导健康生活方式，补齐卫生健康基础设施短板弱项，健全疾病预防控制体系，提升优质医疗服务供给能力，为人民提供全方位全周期健康服务。</w:t>
      </w:r>
    </w:p>
    <w:p w14:paraId="75FFE59B">
      <w:pPr>
        <w:ind w:firstLine="632" w:firstLineChars="200"/>
        <w:jc w:val="both"/>
        <w:rPr>
          <w:rFonts w:hint="default" w:ascii="黑体" w:hAnsi="黑体" w:eastAsia="黑体" w:cs="黑体"/>
          <w:lang w:val="en-US" w:eastAsia="zh-CN"/>
        </w:rPr>
      </w:pPr>
      <w:bookmarkStart w:id="291" w:name="_Toc4908"/>
      <w:bookmarkStart w:id="292" w:name="_Toc25460"/>
      <w:r>
        <w:rPr>
          <w:rFonts w:hint="default" w:ascii="黑体" w:hAnsi="黑体" w:eastAsia="黑体" w:cs="黑体"/>
          <w:lang w:val="en-US" w:eastAsia="zh-CN"/>
        </w:rPr>
        <w:t>一、深化医药卫生体制改革</w:t>
      </w:r>
      <w:bookmarkEnd w:id="291"/>
      <w:bookmarkEnd w:id="292"/>
    </w:p>
    <w:p w14:paraId="0E517FA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de-DE" w:eastAsia="de-DE"/>
        </w:rPr>
      </w:pPr>
      <w:r>
        <w:rPr>
          <w:rFonts w:hint="default"/>
          <w:lang w:val="en-US" w:eastAsia="zh-CN"/>
        </w:rPr>
        <w:t>健全现代医院管理制度，持续推进紧密型医联体建设，鼓励发展以满足基本医疗服务需求为主要目标的非营利性医疗机构，鼓励社会力量办医，为群众提供多样化、差异化医疗服务。因地制宜推广三明医改经验，持续优化分地诊疗制度，充分调动医疗机构的积极性，有效落实</w:t>
      </w:r>
      <w:r>
        <w:rPr>
          <w:rFonts w:hint="eastAsia"/>
          <w:lang w:val="en-US" w:eastAsia="zh-CN"/>
        </w:rPr>
        <w:t>“</w:t>
      </w:r>
      <w:r>
        <w:rPr>
          <w:rFonts w:hint="default"/>
          <w:lang w:val="en-US" w:eastAsia="zh-CN"/>
        </w:rPr>
        <w:t>基层首诊、双向转诊、急慢分治、上下联动</w:t>
      </w:r>
      <w:r>
        <w:rPr>
          <w:rFonts w:hint="eastAsia"/>
          <w:lang w:val="en-US" w:eastAsia="zh-CN"/>
        </w:rPr>
        <w:t>”</w:t>
      </w:r>
      <w:r>
        <w:rPr>
          <w:rFonts w:hint="default"/>
          <w:lang w:val="en-US" w:eastAsia="zh-CN"/>
        </w:rPr>
        <w:t>的分级诊疗模式。</w:t>
      </w:r>
      <w:r>
        <w:rPr>
          <w:rFonts w:hint="default"/>
          <w:lang w:val="de-DE" w:eastAsia="zh-CN"/>
        </w:rPr>
        <w:t>大力推动医疗、医保、医药领域协同发展与高效治理，积极促进卫生健康、医疗保障、市场监管等部门之间的信息互联互通，全面整合各类资源，切实达成</w:t>
      </w:r>
      <w:r>
        <w:rPr>
          <w:rFonts w:hint="eastAsia"/>
          <w:lang w:val="de-DE" w:eastAsia="zh-CN"/>
        </w:rPr>
        <w:t>“</w:t>
      </w:r>
      <w:r>
        <w:rPr>
          <w:rFonts w:hint="default"/>
          <w:lang w:val="de-DE" w:eastAsia="zh-CN"/>
        </w:rPr>
        <w:t>三医</w:t>
      </w:r>
      <w:r>
        <w:rPr>
          <w:rFonts w:hint="eastAsia"/>
          <w:lang w:val="de-DE" w:eastAsia="zh-CN"/>
        </w:rPr>
        <w:t>”</w:t>
      </w:r>
      <w:r>
        <w:rPr>
          <w:rFonts w:hint="default"/>
          <w:lang w:val="de-DE" w:eastAsia="zh-CN"/>
        </w:rPr>
        <w:t>协同发展、资源共享、联合共治的良好局面。推进基层医疗机构对</w:t>
      </w:r>
      <w:r>
        <w:rPr>
          <w:rFonts w:hint="eastAsia"/>
          <w:lang w:val="de-DE" w:eastAsia="zh-CN"/>
        </w:rPr>
        <w:t>“</w:t>
      </w:r>
      <w:r>
        <w:rPr>
          <w:rFonts w:hint="default"/>
          <w:lang w:val="de-DE" w:eastAsia="zh-CN"/>
        </w:rPr>
        <w:t>三秦智医</w:t>
      </w:r>
      <w:r>
        <w:rPr>
          <w:rFonts w:hint="eastAsia"/>
          <w:lang w:val="de-DE" w:eastAsia="zh-CN"/>
        </w:rPr>
        <w:t>”</w:t>
      </w:r>
      <w:r>
        <w:rPr>
          <w:rFonts w:hint="default"/>
          <w:lang w:val="de-DE" w:eastAsia="zh-CN"/>
        </w:rPr>
        <w:t>软件的使用进程，不断提升区级医疗机构区域卫生信息平台互联互通水平，促进医疗信息化建设高质量发展。</w:t>
      </w:r>
    </w:p>
    <w:p w14:paraId="2BE5474D">
      <w:pPr>
        <w:ind w:firstLine="632" w:firstLineChars="200"/>
        <w:jc w:val="both"/>
        <w:rPr>
          <w:rFonts w:hint="default" w:ascii="黑体" w:hAnsi="黑体" w:eastAsia="黑体" w:cs="黑体"/>
          <w:lang w:val="en-US" w:eastAsia="zh-CN"/>
        </w:rPr>
      </w:pPr>
      <w:r>
        <w:rPr>
          <w:rFonts w:hint="default" w:ascii="黑体" w:hAnsi="黑体" w:eastAsia="黑体" w:cs="黑体"/>
          <w:lang w:val="en-US" w:eastAsia="zh-CN"/>
        </w:rPr>
        <w:t>二、完善公共卫生服务体系</w:t>
      </w:r>
    </w:p>
    <w:p w14:paraId="23A9CDCE">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严格落实国家基本公共卫生服务项目，加强区级医院服务能力建设，持续提升基层医疗机构医疗服务能力，构建资源布局均衡、服务便捷优质的区镇村（社区）三级医疗卫生服务网络。加强区级医院临床重点专科建设，支持与国内外高水平医疗机构开展合作，力争优势学科达到省内领先水平。推进高品质医疗服务机构建设，满足群众多层次就医需求。保障妇女儿童和老年人健康权益，健全精神卫生综合治理机制，建立呵护青少年身心健康体系，加强职业健康防护。</w:t>
      </w:r>
    </w:p>
    <w:p w14:paraId="26EB6B06">
      <w:pPr>
        <w:ind w:firstLine="632" w:firstLineChars="200"/>
        <w:jc w:val="both"/>
        <w:rPr>
          <w:rFonts w:hint="default" w:ascii="黑体" w:hAnsi="黑体" w:eastAsia="黑体" w:cs="黑体"/>
          <w:lang w:val="en-US" w:eastAsia="zh-CN"/>
        </w:rPr>
      </w:pPr>
      <w:r>
        <w:rPr>
          <w:rFonts w:hint="default" w:ascii="黑体" w:hAnsi="黑体" w:eastAsia="黑体" w:cs="黑体"/>
          <w:lang w:val="en-US" w:eastAsia="zh-CN"/>
        </w:rPr>
        <w:t>三、健全疾病预防控制体系</w:t>
      </w:r>
    </w:p>
    <w:p w14:paraId="6D43A6E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坚持预防为主、防治结合，强化监测预警能力，完善突发公共卫生应急响应、传染病防控救治、疾病预防控制等体制机制。加快卫生应急专业人才队伍建设，整合辖区卫生应急资源，组建救援、处置专业专家库，提升卫生应急队伍的快速反应与高效处置能力。加快疾控中心基础设施建设和仪器设备更新，提升公共卫生机构服务硬件条件，增强疾病预防控制能力、卫生应急指挥和反应能力。建立慢性病筛查网络，通过健康档案系统实现信息共享，推广家庭医生签约服务，推广健康饮食模式，提高慢性病管理效率。加强职业病、地方病、精神类疾病等重点疾病防治能力，提升居民健康水平。</w:t>
      </w:r>
    </w:p>
    <w:p w14:paraId="5A0C80E0">
      <w:pPr>
        <w:ind w:firstLine="632" w:firstLineChars="200"/>
        <w:jc w:val="both"/>
        <w:rPr>
          <w:rFonts w:hint="default" w:ascii="黑体" w:hAnsi="黑体" w:eastAsia="黑体" w:cs="黑体"/>
          <w:lang w:val="en-US" w:eastAsia="zh-CN"/>
        </w:rPr>
      </w:pPr>
      <w:r>
        <w:rPr>
          <w:rFonts w:hint="default" w:ascii="黑体" w:hAnsi="黑体" w:eastAsia="黑体" w:cs="黑体"/>
          <w:lang w:val="en-US" w:eastAsia="zh-CN"/>
        </w:rPr>
        <w:t>四、发展中医药事业和产业</w:t>
      </w:r>
    </w:p>
    <w:p w14:paraId="243523B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加快建设区级中医医院，规范综合医院中医科设置，持续推进及提升中医药服务能力与水平。实施中医治未病健康工程，在有条件的综合医院设立治未病中心或治未病科室，搜集、整理民间中医药单方验方及特色技术与方法，有步骤地推广应用，争取</w:t>
      </w:r>
      <w:r>
        <w:rPr>
          <w:rFonts w:hint="eastAsia"/>
          <w:lang w:val="en-US" w:eastAsia="zh-CN"/>
        </w:rPr>
        <w:t>“</w:t>
      </w:r>
      <w:r>
        <w:rPr>
          <w:rFonts w:hint="default"/>
          <w:lang w:val="en-US" w:eastAsia="zh-CN"/>
        </w:rPr>
        <w:t>十五五</w:t>
      </w:r>
      <w:r>
        <w:rPr>
          <w:rFonts w:hint="eastAsia"/>
          <w:lang w:val="en-US" w:eastAsia="zh-CN"/>
        </w:rPr>
        <w:t>”</w:t>
      </w:r>
      <w:r>
        <w:rPr>
          <w:rFonts w:hint="default"/>
          <w:lang w:val="en-US" w:eastAsia="zh-CN"/>
        </w:rPr>
        <w:t>期间提供中医药服务的基层医疗卫生机构占比达98%。鼓励支持基层医疗机构与上级医疗机构、科研院所及高校合作，开展中医药科研。开展中医健康体检、健康评估、健康干预及中医药、治未病、药膳食疗等科普活动，支持企业加大药品、保健品与药食同源系列产品饮品综合开发。普及中医药健康养生智慧、健康理念和知识方法。加强在职中医药人才培训，开展名老中医经验继承和名医评选活动。</w:t>
      </w:r>
    </w:p>
    <w:p w14:paraId="133E3C77">
      <w:pPr>
        <w:ind w:firstLine="632" w:firstLineChars="200"/>
        <w:jc w:val="both"/>
        <w:rPr>
          <w:rFonts w:hint="default" w:ascii="黑体" w:hAnsi="黑体" w:eastAsia="黑体" w:cs="黑体"/>
          <w:lang w:val="en-US" w:eastAsia="zh-CN"/>
        </w:rPr>
      </w:pPr>
      <w:r>
        <w:rPr>
          <w:rFonts w:hint="default" w:ascii="黑体" w:hAnsi="黑体" w:eastAsia="黑体" w:cs="黑体"/>
          <w:lang w:val="en-US" w:eastAsia="zh-CN"/>
        </w:rPr>
        <w:t>五、提升全民健康素养水平​</w:t>
      </w:r>
    </w:p>
    <w:p w14:paraId="081053F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default"/>
          <w:lang w:val="en-US" w:eastAsia="zh-CN"/>
        </w:rPr>
        <w:t>深入推进健康知识宣传普及工作，切实提升居民健康素养水平，持续健全健康教育服务体系。积极引导全民健康行为，大力加强控烟宣传教育以及限酒健康教育工作，不断深化体重管理举措。推动爱国卫生运动与传染病、慢性病防控等工作紧密结合，进一步加大科普宣传力度，积极倡导文明健康、绿色环保的生活方式。促进爱国卫生工作与基层治理工作深度融合，推动爱国卫生运动全面融入群众日常生活。到2030年居民健康素养水平提升至35%。</w:t>
      </w:r>
    </w:p>
    <w:p w14:paraId="66B2F6EB">
      <w:pPr>
        <w:ind w:firstLine="632" w:firstLineChars="200"/>
        <w:jc w:val="both"/>
        <w:rPr>
          <w:rFonts w:hint="default" w:ascii="黑体" w:hAnsi="黑体" w:eastAsia="黑体" w:cs="黑体"/>
          <w:lang w:val="en-US" w:eastAsia="zh-CN"/>
        </w:rPr>
      </w:pPr>
      <w:r>
        <w:rPr>
          <w:rFonts w:hint="default" w:ascii="黑体" w:hAnsi="黑体" w:eastAsia="黑体" w:cs="黑体"/>
          <w:lang w:val="en-US" w:eastAsia="zh-CN"/>
        </w:rPr>
        <w:t>六、推进全民健身和全民健康相融合</w:t>
      </w:r>
    </w:p>
    <w:p w14:paraId="28DB6BF4">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default"/>
          <w:lang w:val="en-US" w:eastAsia="zh-CN"/>
        </w:rPr>
        <w:t>完善全民健身公共服务体系，利用城市</w:t>
      </w:r>
      <w:r>
        <w:rPr>
          <w:rFonts w:hint="eastAsia"/>
          <w:lang w:val="en-US" w:eastAsia="zh-CN"/>
        </w:rPr>
        <w:t>“</w:t>
      </w:r>
      <w:r>
        <w:rPr>
          <w:rFonts w:hint="default"/>
          <w:lang w:val="en-US" w:eastAsia="zh-CN"/>
        </w:rPr>
        <w:t>金角银边</w:t>
      </w:r>
      <w:r>
        <w:rPr>
          <w:rFonts w:hint="eastAsia"/>
          <w:lang w:val="en-US" w:eastAsia="zh-CN"/>
        </w:rPr>
        <w:t>”</w:t>
      </w:r>
      <w:r>
        <w:rPr>
          <w:rFonts w:hint="default"/>
          <w:lang w:val="en-US" w:eastAsia="zh-CN"/>
        </w:rPr>
        <w:t>建设群众运动空间扩容、小型社区健身中心等便民体育设施。落实公共体育场地设施免费或低收费开放政策，区级体育场馆全面开放，学校和企事业单位体育场地设施有序向社会开放，充分发挥体育场地设施的社会效益。把全民健身落实到基层、落实到群众身上，创新开发群众喜闻乐见、老少皆宜的特色体育项目，常态化开展乒乓球邀请赛、太极拳展演活动、社区运动会、五人制足球赛、职工篮球赛、职工羽毛球等群众性赛事，激发群众参与体育运动的热情。</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8"/>
      </w:tblGrid>
      <w:tr w14:paraId="6075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8" w:type="dxa"/>
            <w:noWrap w:val="0"/>
            <w:vAlign w:val="top"/>
          </w:tcPr>
          <w:p w14:paraId="0CBEE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b w:val="0"/>
                <w:bCs w:val="0"/>
                <w:color w:val="auto"/>
                <w:spacing w:val="0"/>
                <w:kern w:val="2"/>
                <w:sz w:val="28"/>
                <w:szCs w:val="28"/>
                <w:vertAlign w:val="baseline"/>
                <w:lang w:val="en-US" w:eastAsia="zh-CN" w:bidi="ar-SA"/>
              </w:rPr>
              <w:t>专栏9-3  健康汉台建设工程</w:t>
            </w:r>
          </w:p>
        </w:tc>
      </w:tr>
      <w:tr w14:paraId="60C5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8" w:type="dxa"/>
            <w:noWrap w:val="0"/>
            <w:vAlign w:val="top"/>
          </w:tcPr>
          <w:p w14:paraId="73DC4A10">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医疗卫生服务体系建设工程。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汉台区医联体病房改造及社区卫生服务中心能力提升、汉台区中医医院、汉中市口腔医院新址、汉中市人民医院病房改造、汉台区妇幼保健院新址、仲德医院二期、宗营镇中心卫生院医养大楼及区医疗信息数据库、智慧医疗AI辅助诊疗及全生命周期健康管理平台等项目</w:t>
            </w:r>
            <w:r>
              <w:rPr>
                <w:rFonts w:hint="default" w:ascii="Times New Roman" w:hAnsi="Times New Roman" w:cs="Times New Roman"/>
                <w:b w:val="0"/>
                <w:bCs w:val="0"/>
                <w:color w:val="auto"/>
                <w:spacing w:val="0"/>
                <w:kern w:val="2"/>
                <w:sz w:val="24"/>
                <w:szCs w:val="24"/>
                <w:vertAlign w:val="baseline"/>
                <w:lang w:val="en-US" w:eastAsia="zh-CN" w:bidi="ar-SA"/>
              </w:rPr>
              <w:t>。</w:t>
            </w:r>
          </w:p>
          <w:p w14:paraId="26F2CF62">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仿宋_GB2312"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疾病预防控制体系建设工程。</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重点建设汉中市传染病医院医疗服务能力提升、</w:t>
            </w:r>
            <w:r>
              <w:rPr>
                <w:rFonts w:hint="default" w:ascii="Times New Roman" w:hAnsi="Times New Roman" w:cs="Times New Roman"/>
                <w:b w:val="0"/>
                <w:bCs w:val="0"/>
                <w:color w:val="auto"/>
                <w:spacing w:val="0"/>
                <w:kern w:val="2"/>
                <w:sz w:val="24"/>
                <w:szCs w:val="24"/>
                <w:vertAlign w:val="baseline"/>
                <w:lang w:val="en-US" w:eastAsia="zh-CN" w:bidi="ar-SA"/>
              </w:rPr>
              <w:t>汉台区疾病预防控制中心（卫生监督所）、公共卫生应急能力提升、</w:t>
            </w:r>
            <w:r>
              <w:rPr>
                <w:rFonts w:hint="default" w:ascii="Times New Roman" w:hAnsi="Times New Roman" w:eastAsia="仿宋_GB2312" w:cs="Times New Roman"/>
                <w:b w:val="0"/>
                <w:bCs w:val="0"/>
                <w:color w:val="auto"/>
                <w:spacing w:val="0"/>
                <w:kern w:val="2"/>
                <w:sz w:val="24"/>
                <w:szCs w:val="24"/>
                <w:vertAlign w:val="baseline"/>
                <w:lang w:val="en-US" w:eastAsia="zh-CN" w:bidi="ar-SA"/>
              </w:rPr>
              <w:t>汉中市精神病医院康养综合楼、慢病管理中心等项目。</w:t>
            </w:r>
          </w:p>
          <w:p w14:paraId="25F37FC0">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仿宋_GB2312" w:cs="Times New Roman"/>
                <w:b/>
                <w:bCs/>
                <w:color w:val="auto"/>
                <w:spacing w:val="0"/>
                <w:kern w:val="2"/>
                <w:sz w:val="24"/>
                <w:szCs w:val="24"/>
                <w:vertAlign w:val="baseline"/>
                <w:lang w:val="en-US" w:eastAsia="zh-CN" w:bidi="ar-SA"/>
              </w:rPr>
              <w:t>全民健身活动工程</w:t>
            </w:r>
            <w:r>
              <w:rPr>
                <w:rFonts w:hint="default" w:ascii="Times New Roman" w:hAnsi="Times New Roman" w:cs="Times New Roman"/>
                <w:b/>
                <w:bCs/>
                <w:color w:val="auto"/>
                <w:spacing w:val="0"/>
                <w:kern w:val="2"/>
                <w:sz w:val="24"/>
                <w:szCs w:val="24"/>
                <w:vertAlign w:val="baseline"/>
                <w:lang w:val="en-US" w:eastAsia="zh-CN" w:bidi="ar-SA"/>
              </w:rPr>
              <w:t>。</w:t>
            </w: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w:t>
            </w:r>
            <w:r>
              <w:rPr>
                <w:rFonts w:hint="default" w:ascii="Times New Roman" w:hAnsi="Times New Roman" w:cs="Times New Roman"/>
                <w:b w:val="0"/>
                <w:bCs w:val="0"/>
                <w:color w:val="auto"/>
                <w:spacing w:val="0"/>
                <w:kern w:val="2"/>
                <w:sz w:val="24"/>
                <w:szCs w:val="24"/>
                <w:vertAlign w:val="baseline"/>
                <w:lang w:val="en-US" w:eastAsia="zh-CN" w:bidi="ar-SA"/>
              </w:rPr>
              <w:t>汉台区游泳跳水馆（全民健身中心）、城东沿江体育运动带、城东智慧滨江运动公园、全民健身运动康养中心、莲花池体育运动公园、户外健身登山步道</w:t>
            </w:r>
            <w:r>
              <w:rPr>
                <w:rFonts w:hint="default" w:ascii="Times New Roman" w:hAnsi="Times New Roman" w:eastAsia="仿宋_GB2312" w:cs="Times New Roman"/>
                <w:b w:val="0"/>
                <w:bCs w:val="0"/>
                <w:color w:val="auto"/>
                <w:spacing w:val="0"/>
                <w:kern w:val="2"/>
                <w:sz w:val="24"/>
                <w:szCs w:val="24"/>
                <w:vertAlign w:val="baseline"/>
                <w:lang w:val="en-US" w:eastAsia="zh-CN" w:bidi="ar-SA"/>
              </w:rPr>
              <w:t>等项目。</w:t>
            </w:r>
          </w:p>
        </w:tc>
      </w:tr>
    </w:tbl>
    <w:p w14:paraId="0826EA70">
      <w:pPr>
        <w:jc w:val="center"/>
        <w:rPr>
          <w:rFonts w:hint="eastAsia" w:ascii="黑体" w:hAnsi="黑体" w:eastAsia="黑体" w:cs="黑体"/>
          <w:lang w:val="en-US" w:eastAsia="zh-CN"/>
        </w:rPr>
      </w:pPr>
      <w:bookmarkStart w:id="293" w:name="_Toc1905"/>
      <w:bookmarkStart w:id="294" w:name="_Toc12003"/>
      <w:bookmarkStart w:id="295" w:name="_Toc18698"/>
      <w:r>
        <w:rPr>
          <w:rFonts w:hint="eastAsia" w:ascii="黑体" w:hAnsi="黑体" w:eastAsia="黑体" w:cs="黑体"/>
          <w:lang w:val="en-US" w:eastAsia="zh-CN"/>
        </w:rPr>
        <w:t xml:space="preserve">第四节  </w:t>
      </w:r>
      <w:bookmarkEnd w:id="293"/>
      <w:r>
        <w:rPr>
          <w:rFonts w:hint="eastAsia" w:ascii="黑体" w:hAnsi="黑体" w:eastAsia="黑体" w:cs="黑体"/>
          <w:lang w:val="en-US" w:eastAsia="zh-CN"/>
        </w:rPr>
        <w:t>推进人口高质量发展</w:t>
      </w:r>
      <w:bookmarkEnd w:id="294"/>
      <w:bookmarkEnd w:id="295"/>
    </w:p>
    <w:p w14:paraId="1938438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积极实施应对人口老龄化国家战略和儿童发展纲要战略，</w:t>
      </w:r>
      <w:r>
        <w:rPr>
          <w:rFonts w:hint="default"/>
        </w:rPr>
        <w:t>以</w:t>
      </w:r>
      <w:r>
        <w:rPr>
          <w:rFonts w:hint="eastAsia"/>
          <w:lang w:eastAsia="zh-CN"/>
        </w:rPr>
        <w:t>“</w:t>
      </w:r>
      <w:r>
        <w:rPr>
          <w:rFonts w:hint="default"/>
        </w:rPr>
        <w:t>一老一小</w:t>
      </w:r>
      <w:r>
        <w:rPr>
          <w:rFonts w:hint="eastAsia"/>
          <w:lang w:eastAsia="zh-CN"/>
        </w:rPr>
        <w:t>”</w:t>
      </w:r>
      <w:r>
        <w:rPr>
          <w:rFonts w:hint="default"/>
        </w:rPr>
        <w:t>为重点完善人口服务体系，扩大养老托育服务有效供给，提升服务质量，不断满足人民日益增长的美好生活需要，促进养老托育服务健康发展</w:t>
      </w:r>
      <w:r>
        <w:rPr>
          <w:rFonts w:hint="default"/>
          <w:lang w:eastAsia="zh-CN"/>
        </w:rPr>
        <w:t>。</w:t>
      </w:r>
    </w:p>
    <w:p w14:paraId="4295A949">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黑体" w:hAnsi="黑体" w:eastAsia="黑体" w:cs="黑体"/>
          <w:lang w:val="en-US" w:eastAsia="zh-CN"/>
        </w:rPr>
      </w:pPr>
      <w:bookmarkStart w:id="296" w:name="_Toc23577"/>
      <w:bookmarkStart w:id="297" w:name="_Toc3174"/>
      <w:r>
        <w:rPr>
          <w:rFonts w:hint="eastAsia" w:ascii="黑体" w:hAnsi="黑体" w:eastAsia="黑体" w:cs="黑体"/>
          <w:lang w:val="en-US" w:eastAsia="zh-CN"/>
        </w:rPr>
        <w:t>一、提升优生优育服务水平</w:t>
      </w:r>
      <w:bookmarkEnd w:id="296"/>
      <w:bookmarkEnd w:id="297"/>
    </w:p>
    <w:p w14:paraId="1E77C80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default"/>
        </w:rPr>
        <w:t>建立健全母婴保健服务体系，</w:t>
      </w:r>
      <w:r>
        <w:rPr>
          <w:rFonts w:hint="default"/>
          <w:rtl w:val="0"/>
          <w:lang w:val="en-US" w:eastAsia="zh-CN"/>
        </w:rPr>
        <w:t>积极开展</w:t>
      </w:r>
      <w:r>
        <w:rPr>
          <w:rFonts w:hint="eastAsia"/>
          <w:rtl w:val="0"/>
          <w:lang w:val="en-US" w:eastAsia="zh-CN"/>
        </w:rPr>
        <w:t>“</w:t>
      </w:r>
      <w:r>
        <w:rPr>
          <w:rFonts w:hint="default"/>
          <w:rtl w:val="0"/>
          <w:lang w:val="en-US" w:eastAsia="zh-CN"/>
        </w:rPr>
        <w:t>妇幼健康工程</w:t>
      </w:r>
      <w:r>
        <w:rPr>
          <w:rFonts w:hint="eastAsia"/>
          <w:rtl w:val="0"/>
          <w:lang w:val="en-US" w:eastAsia="zh-CN"/>
        </w:rPr>
        <w:t>”“</w:t>
      </w:r>
      <w:r>
        <w:rPr>
          <w:rFonts w:hint="default"/>
          <w:rtl w:val="0"/>
          <w:lang w:val="en-US" w:eastAsia="zh-CN"/>
        </w:rPr>
        <w:t>母亲健康工程</w:t>
      </w:r>
      <w:r>
        <w:rPr>
          <w:rFonts w:hint="eastAsia"/>
          <w:rtl w:val="0"/>
          <w:lang w:val="en-US" w:eastAsia="zh-CN"/>
        </w:rPr>
        <w:t>”“</w:t>
      </w:r>
      <w:r>
        <w:rPr>
          <w:rFonts w:hint="default"/>
          <w:rtl w:val="0"/>
          <w:lang w:val="en-US" w:eastAsia="zh-CN"/>
        </w:rPr>
        <w:t>孕前优生健康工程</w:t>
      </w:r>
      <w:r>
        <w:rPr>
          <w:rFonts w:hint="eastAsia"/>
          <w:rtl w:val="0"/>
          <w:lang w:val="en-US" w:eastAsia="zh-CN"/>
        </w:rPr>
        <w:t>”</w:t>
      </w:r>
      <w:r>
        <w:rPr>
          <w:rFonts w:hint="default"/>
          <w:rtl w:val="0"/>
          <w:lang w:val="en-US" w:eastAsia="zh-CN"/>
        </w:rPr>
        <w:t>等工程，推进实施宫颈癌、乳腺癌筛查、新生儿疾病筛查等项目，</w:t>
      </w:r>
      <w:r>
        <w:rPr>
          <w:rFonts w:hint="default"/>
        </w:rPr>
        <w:t>有效预防和减少出生缺陷，</w:t>
      </w:r>
      <w:r>
        <w:rPr>
          <w:rFonts w:hint="default"/>
          <w:rtl w:val="0"/>
          <w:lang w:val="en-US" w:eastAsia="zh-CN"/>
        </w:rPr>
        <w:t>保障母婴安全。</w:t>
      </w:r>
      <w:r>
        <w:rPr>
          <w:rFonts w:hint="default"/>
          <w:lang w:val="en-US" w:eastAsia="zh-CN"/>
        </w:rPr>
        <w:t>加大对儿童医疗卫生与健康事业的投入力度。</w:t>
      </w:r>
      <w:r>
        <w:rPr>
          <w:rFonts w:hint="default"/>
          <w:rtl w:val="0"/>
          <w:lang w:val="en-US" w:eastAsia="zh-CN"/>
        </w:rPr>
        <w:t>严格落实产假、育儿假等制度，积极落实二孩三孩配套措施，鼓励企业提供弹性工作安排，降低生育养育教育成本。构建新型婚育文化，大力倡导积极的婚恋观、生育观、家庭观。</w:t>
      </w:r>
      <w:r>
        <w:rPr>
          <w:rFonts w:hint="default"/>
        </w:rPr>
        <w:t>健全生命全过程关爱服务体系，完善儿童早期发展教育、青春健康教育、妈妈孕期培训、养生健康保健、男性健康指导、老年保健等服务。</w:t>
      </w:r>
    </w:p>
    <w:p w14:paraId="079E68BD">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黑体" w:hAnsi="黑体" w:eastAsia="黑体" w:cs="黑体"/>
          <w:rtl w:val="0"/>
          <w:lang w:val="en-US" w:eastAsia="zh-CN"/>
        </w:rPr>
      </w:pPr>
      <w:bookmarkStart w:id="298" w:name="_Toc18667"/>
      <w:bookmarkStart w:id="299" w:name="_Toc20567"/>
      <w:r>
        <w:rPr>
          <w:rFonts w:hint="default" w:ascii="黑体" w:hAnsi="黑体" w:eastAsia="黑体" w:cs="黑体"/>
          <w:lang w:val="en-US" w:eastAsia="zh-CN"/>
        </w:rPr>
        <w:t>二、</w:t>
      </w:r>
      <w:r>
        <w:rPr>
          <w:rFonts w:hint="default" w:ascii="黑体" w:hAnsi="黑体" w:eastAsia="黑体" w:cs="黑体"/>
          <w:rtl w:val="0"/>
          <w:lang w:val="en-US" w:eastAsia="zh-CN"/>
        </w:rPr>
        <w:t>增强普惠托育服务供给</w:t>
      </w:r>
      <w:bookmarkEnd w:id="298"/>
      <w:bookmarkEnd w:id="299"/>
    </w:p>
    <w:p w14:paraId="3D7BC7D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default"/>
          <w:lang w:val="en-US" w:eastAsia="zh-CN"/>
        </w:rPr>
        <w:t>加强普惠育幼服务体系建设，结合城市更新加快补齐托育服务设施短板。推行公建民营模式，</w:t>
      </w:r>
      <w:r>
        <w:rPr>
          <w:rFonts w:hint="default"/>
          <w:rtl w:val="0"/>
          <w:lang w:val="en-US" w:eastAsia="zh-CN"/>
        </w:rPr>
        <w:t>支持幼儿园开设托班，</w:t>
      </w:r>
      <w:r>
        <w:rPr>
          <w:rFonts w:hint="default"/>
          <w:lang w:val="en-US" w:eastAsia="zh-CN"/>
        </w:rPr>
        <w:t>大力发展社区嵌入式托育，支持用人单位办托、家庭托育点等多种模式发展。</w:t>
      </w:r>
      <w:r>
        <w:rPr>
          <w:rFonts w:hint="default"/>
          <w:rtl w:val="0"/>
          <w:lang w:val="en-US" w:eastAsia="zh-CN"/>
        </w:rPr>
        <w:t>加强托育机构规范化建设，打造一批高标准、具有示范性作用的托育机构。加强托育师资队伍建设，健全专业培训机制。</w:t>
      </w:r>
    </w:p>
    <w:p w14:paraId="5F5D5F0D">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黑体" w:hAnsi="黑体" w:eastAsia="黑体" w:cs="黑体"/>
          <w:lang w:val="en-US" w:eastAsia="zh-CN"/>
        </w:rPr>
      </w:pPr>
      <w:bookmarkStart w:id="300" w:name="_Toc20582"/>
      <w:bookmarkStart w:id="301" w:name="_Toc5766"/>
      <w:r>
        <w:rPr>
          <w:rFonts w:hint="default" w:ascii="黑体" w:hAnsi="黑体" w:eastAsia="黑体" w:cs="黑体"/>
          <w:lang w:val="en-US" w:eastAsia="zh-CN"/>
        </w:rPr>
        <w:t>三、</w:t>
      </w:r>
      <w:r>
        <w:rPr>
          <w:rFonts w:hint="default" w:ascii="黑体" w:hAnsi="黑体" w:eastAsia="黑体" w:cs="黑体"/>
          <w:rtl w:val="0"/>
          <w:lang w:val="en-US" w:eastAsia="zh-CN"/>
        </w:rPr>
        <w:t>积极应对人口老龄化</w:t>
      </w:r>
      <w:bookmarkEnd w:id="300"/>
      <w:bookmarkEnd w:id="301"/>
    </w:p>
    <w:p w14:paraId="024AFD59">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健全基本养老服务保障机制，完善汉台区基本养老服务清单，强化公办养老机构的兜底保障职能，加强养老机构集中照护能力建设。完善区、镇（街道）、村（社区）三级居家社区养老服务体系，推进公办养老机构改造，加大护理型床位供给，推动社区嵌入式养老服务机构设施建设，优化升级社区日间照料中心设施，做好农村幸福互助院运营和管理，引导有需求的老年人家庭开展适老化改造，到2030年，养老机构床位达到2000张，护理型床位占比达到70%。加强养老人才队伍建设，更好满足老年人多层次多样化养老服务需求。大力开发老龄人力资源，丰富老年文体生活，加快建设老年友好型社会。</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3FCE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noWrap w:val="0"/>
            <w:vAlign w:val="top"/>
          </w:tcPr>
          <w:p w14:paraId="216A61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 xml:space="preserve">专栏9-4  </w:t>
            </w:r>
            <w:r>
              <w:rPr>
                <w:rFonts w:hint="eastAsia" w:ascii="Times New Roman" w:hAnsi="Times New Roman" w:eastAsia="黑体" w:cs="Times New Roman"/>
                <w:color w:val="auto"/>
                <w:spacing w:val="0"/>
                <w:kern w:val="2"/>
                <w:sz w:val="28"/>
                <w:szCs w:val="28"/>
                <w:vertAlign w:val="baseline"/>
                <w:lang w:val="en-US" w:eastAsia="zh-CN" w:bidi="ar-SA"/>
              </w:rPr>
              <w:t>“</w:t>
            </w:r>
            <w:r>
              <w:rPr>
                <w:rFonts w:hint="default" w:ascii="Times New Roman" w:hAnsi="Times New Roman" w:eastAsia="黑体" w:cs="Times New Roman"/>
                <w:color w:val="auto"/>
                <w:spacing w:val="0"/>
                <w:kern w:val="2"/>
                <w:sz w:val="28"/>
                <w:szCs w:val="28"/>
                <w:vertAlign w:val="baseline"/>
                <w:lang w:val="en-US" w:eastAsia="zh-CN" w:bidi="ar-SA"/>
              </w:rPr>
              <w:t>一老一小</w:t>
            </w:r>
            <w:r>
              <w:rPr>
                <w:rFonts w:hint="eastAsia" w:ascii="Times New Roman" w:hAnsi="Times New Roman" w:eastAsia="黑体" w:cs="Times New Roman"/>
                <w:color w:val="auto"/>
                <w:spacing w:val="0"/>
                <w:kern w:val="2"/>
                <w:sz w:val="28"/>
                <w:szCs w:val="28"/>
                <w:vertAlign w:val="baseline"/>
                <w:lang w:val="en-US" w:eastAsia="zh-CN" w:bidi="ar-SA"/>
              </w:rPr>
              <w:t>”</w:t>
            </w:r>
            <w:r>
              <w:rPr>
                <w:rFonts w:hint="default" w:ascii="Times New Roman" w:hAnsi="Times New Roman" w:eastAsia="黑体" w:cs="Times New Roman"/>
                <w:color w:val="auto"/>
                <w:spacing w:val="0"/>
                <w:kern w:val="2"/>
                <w:sz w:val="28"/>
                <w:szCs w:val="28"/>
                <w:vertAlign w:val="baseline"/>
                <w:lang w:val="en-US" w:eastAsia="zh-CN" w:bidi="ar-SA"/>
              </w:rPr>
              <w:t>关爱工程</w:t>
            </w:r>
          </w:p>
        </w:tc>
      </w:tr>
      <w:tr w14:paraId="5A0B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noWrap w:val="0"/>
            <w:vAlign w:val="top"/>
          </w:tcPr>
          <w:p w14:paraId="17B8DD8F">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cs="Times New Roman"/>
                <w:b w:val="0"/>
                <w:bCs w:val="0"/>
                <w:color w:val="auto"/>
                <w:spacing w:val="0"/>
                <w:kern w:val="2"/>
                <w:sz w:val="24"/>
                <w:szCs w:val="24"/>
                <w:vertAlign w:val="baseline"/>
                <w:lang w:val="en-US" w:eastAsia="zh-CN" w:bidi="ar-SA"/>
              </w:rPr>
              <w:t>重点建设熊猫集市星空广场—儿童友好街区、幼儿康复保育中心、汉台区妇女儿童活动中心、汉台区养老服务网络、铺镇嵌入式养老服务中心、徐望镇养老服务中心、汉台区失能失智照护中心、</w:t>
            </w:r>
            <w:r>
              <w:rPr>
                <w:rFonts w:hint="default" w:ascii="Times New Roman" w:hAnsi="Times New Roman" w:eastAsia="仿宋_GB2312" w:cs="Times New Roman"/>
                <w:b w:val="0"/>
                <w:bCs w:val="0"/>
                <w:color w:val="auto"/>
                <w:spacing w:val="0"/>
                <w:kern w:val="2"/>
                <w:sz w:val="24"/>
                <w:szCs w:val="24"/>
                <w:vertAlign w:val="baseline"/>
                <w:lang w:val="en-US" w:eastAsia="zh-CN" w:bidi="ar-SA"/>
              </w:rPr>
              <w:t>养老救助信息综合应用平台</w:t>
            </w:r>
            <w:r>
              <w:rPr>
                <w:rFonts w:hint="default" w:ascii="Times New Roman" w:hAnsi="Times New Roman" w:cs="Times New Roman"/>
                <w:b w:val="0"/>
                <w:bCs w:val="0"/>
                <w:color w:val="auto"/>
                <w:spacing w:val="0"/>
                <w:kern w:val="2"/>
                <w:sz w:val="24"/>
                <w:szCs w:val="24"/>
                <w:vertAlign w:val="baseline"/>
                <w:lang w:val="en-US" w:eastAsia="zh-CN" w:bidi="ar-SA"/>
              </w:rPr>
              <w:t>等项目。</w:t>
            </w:r>
          </w:p>
        </w:tc>
      </w:tr>
    </w:tbl>
    <w:p w14:paraId="1EE29234">
      <w:pPr>
        <w:jc w:val="center"/>
        <w:rPr>
          <w:rFonts w:hint="eastAsia" w:ascii="黑体" w:hAnsi="黑体" w:eastAsia="黑体" w:cs="黑体"/>
          <w:lang w:val="en-US" w:eastAsia="zh-CN"/>
        </w:rPr>
      </w:pPr>
      <w:bookmarkStart w:id="302" w:name="_Toc19141"/>
      <w:bookmarkStart w:id="303" w:name="_Toc27424"/>
      <w:bookmarkStart w:id="304" w:name="_Toc13363"/>
      <w:r>
        <w:rPr>
          <w:rFonts w:hint="eastAsia" w:ascii="黑体" w:hAnsi="黑体" w:eastAsia="黑体" w:cs="黑体"/>
          <w:lang w:val="en-US" w:eastAsia="zh-CN"/>
        </w:rPr>
        <w:t>第五节  提升社会保障水平</w:t>
      </w:r>
      <w:bookmarkEnd w:id="302"/>
      <w:bookmarkEnd w:id="303"/>
      <w:bookmarkEnd w:id="304"/>
    </w:p>
    <w:p w14:paraId="66ABC864">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坚持尽力而为、量力而行，加强社会保险、社会救助、社会福利、社会事务服务体系建设，健全覆盖全民、统筹城乡、公平统一、安全规范、可持续的多层次社会保障体系。</w:t>
      </w:r>
    </w:p>
    <w:p w14:paraId="0176FAF1">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黑体" w:hAnsi="黑体" w:eastAsia="黑体" w:cs="黑体"/>
          <w:lang w:val="en-US" w:eastAsia="zh-CN"/>
        </w:rPr>
      </w:pPr>
      <w:bookmarkStart w:id="305" w:name="_Toc16291"/>
      <w:bookmarkStart w:id="306" w:name="_Toc4472"/>
      <w:r>
        <w:rPr>
          <w:rFonts w:hint="eastAsia" w:ascii="黑体" w:hAnsi="黑体" w:eastAsia="黑体" w:cs="黑体"/>
          <w:lang w:val="en-US" w:eastAsia="zh-CN"/>
        </w:rPr>
        <w:t>一、完善城乡社会保障体系</w:t>
      </w:r>
      <w:bookmarkEnd w:id="305"/>
      <w:bookmarkEnd w:id="306"/>
    </w:p>
    <w:p w14:paraId="5BCCCD5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default"/>
        </w:rPr>
        <w:t>实施全民参保计划，提高灵活就业人员、农民工、新就业形态人员参保率，扩大医疗、失业、工伤保险覆盖面。</w:t>
      </w:r>
      <w:r>
        <w:rPr>
          <w:rFonts w:hint="default"/>
          <w:lang w:val="en-US" w:eastAsia="zh-CN"/>
        </w:rPr>
        <w:t>落实</w:t>
      </w:r>
      <w:r>
        <w:rPr>
          <w:rFonts w:hint="default"/>
        </w:rPr>
        <w:t>基本养老保险全国统筹制度，</w:t>
      </w:r>
      <w:r>
        <w:rPr>
          <w:rFonts w:hint="default"/>
          <w:lang w:val="en-US" w:eastAsia="zh-CN"/>
        </w:rPr>
        <w:t>加快发展多层次、多支柱养老保险体系，</w:t>
      </w:r>
      <w:r>
        <w:rPr>
          <w:rFonts w:hint="default"/>
          <w:rtl w:val="0"/>
          <w:lang w:val="en-US" w:eastAsia="zh-CN"/>
        </w:rPr>
        <w:t>稳妥有序推进渐进式延迟法定退休年龄改革，</w:t>
      </w:r>
      <w:r>
        <w:rPr>
          <w:rFonts w:hint="default"/>
        </w:rPr>
        <w:t>健全参保激励约束机制，优化城乡居民基本养老保险缴费档次设置，落实社会保障待遇调整机制，稳步提升养老保险待遇，健全与经济发展水平相适应的失业、工伤待遇调整机制。落实城乡居民基本医疗保险筹资机制，深化医保支付方式改革，严格执行大病保险和医疗救助制度，稳步推进长期护理保险制度试点，有序推进职工基本医疗保险个人账户跨省共济。</w:t>
      </w:r>
    </w:p>
    <w:p w14:paraId="3554AA7E">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黑体" w:hAnsi="黑体" w:eastAsia="黑体" w:cs="黑体"/>
          <w:lang w:val="en-US" w:eastAsia="zh-CN"/>
        </w:rPr>
      </w:pPr>
      <w:bookmarkStart w:id="307" w:name="_Toc18457"/>
      <w:bookmarkStart w:id="308" w:name="_Toc27550"/>
      <w:r>
        <w:rPr>
          <w:rFonts w:hint="default" w:ascii="黑体" w:hAnsi="黑体" w:eastAsia="黑体" w:cs="黑体"/>
          <w:lang w:val="en-US" w:eastAsia="zh-CN"/>
        </w:rPr>
        <w:t>二、建立健全社会救助体系</w:t>
      </w:r>
      <w:bookmarkEnd w:id="307"/>
      <w:bookmarkEnd w:id="308"/>
    </w:p>
    <w:p w14:paraId="5069ADDC">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rPr>
        <w:t>加大社会救助政策宣传力度，</w:t>
      </w:r>
      <w:r>
        <w:rPr>
          <w:rFonts w:hint="default"/>
          <w:lang w:val="en-US" w:eastAsia="zh-CN"/>
        </w:rPr>
        <w:t>建立健全以基本生活救助、专项社会救助、急难社会救助为主体，社会力量参与为补充的分层分类救助体系。规范社会救助对象认定、审核确认程序，提升救助精准化、智慧化水平，将符合救助条件的困难群众及时纳入救助范畴，根据实际需要给予相应的专项社会救助或实施其他必要救助措施。做好重大疫情灾情等突发事件困难群众急难救助工作，常态化开展</w:t>
      </w:r>
      <w:r>
        <w:rPr>
          <w:rFonts w:hint="eastAsia"/>
          <w:lang w:val="en-US" w:eastAsia="zh-CN"/>
        </w:rPr>
        <w:t>“</w:t>
      </w:r>
      <w:r>
        <w:rPr>
          <w:rFonts w:hint="default"/>
          <w:lang w:val="en-US" w:eastAsia="zh-CN"/>
        </w:rPr>
        <w:t>寒冬送温暖</w:t>
      </w:r>
      <w:r>
        <w:rPr>
          <w:rFonts w:hint="eastAsia"/>
          <w:lang w:val="en-US" w:eastAsia="zh-CN"/>
        </w:rPr>
        <w:t>”“</w:t>
      </w:r>
      <w:r>
        <w:rPr>
          <w:rFonts w:hint="default"/>
          <w:lang w:val="en-US" w:eastAsia="zh-CN"/>
        </w:rPr>
        <w:t>夏季送清凉</w:t>
      </w:r>
      <w:r>
        <w:rPr>
          <w:rFonts w:hint="eastAsia"/>
          <w:lang w:val="en-US" w:eastAsia="zh-CN"/>
        </w:rPr>
        <w:t>”</w:t>
      </w:r>
      <w:r>
        <w:rPr>
          <w:rFonts w:hint="default"/>
          <w:lang w:val="en-US" w:eastAsia="zh-CN"/>
        </w:rPr>
        <w:t>等专项救助行动。</w:t>
      </w:r>
      <w:r>
        <w:rPr>
          <w:rFonts w:hint="default"/>
          <w:rtl w:val="0"/>
          <w:lang w:val="en-US" w:eastAsia="zh-CN"/>
        </w:rPr>
        <w:t>统筹社会救助资源，推广精准救助、高效救助、温暖救助、智慧救助多位一体的</w:t>
      </w:r>
      <w:r>
        <w:rPr>
          <w:rFonts w:hint="eastAsia"/>
          <w:rtl w:val="0"/>
          <w:lang w:val="en-US" w:eastAsia="zh-CN"/>
        </w:rPr>
        <w:t>“</w:t>
      </w:r>
      <w:r>
        <w:rPr>
          <w:rFonts w:hint="default"/>
          <w:rtl w:val="0"/>
          <w:lang w:val="en-US" w:eastAsia="zh-CN"/>
        </w:rPr>
        <w:t>融救融助</w:t>
      </w:r>
      <w:r>
        <w:rPr>
          <w:rFonts w:hint="eastAsia"/>
          <w:rtl w:val="0"/>
          <w:lang w:val="en-US" w:eastAsia="zh-CN"/>
        </w:rPr>
        <w:t>”</w:t>
      </w:r>
      <w:r>
        <w:rPr>
          <w:rFonts w:hint="default"/>
          <w:rtl w:val="0"/>
          <w:lang w:val="en-US" w:eastAsia="zh-CN"/>
        </w:rPr>
        <w:t>模式。</w:t>
      </w:r>
      <w:r>
        <w:rPr>
          <w:rFonts w:hint="default"/>
          <w:lang w:val="en-US" w:eastAsia="zh-CN"/>
        </w:rPr>
        <w:t>综合运用最低生活保障、临时救助等政策措施，夯实基本生活保障。</w:t>
      </w:r>
    </w:p>
    <w:p w14:paraId="609E315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黑体" w:hAnsi="黑体" w:eastAsia="黑体" w:cs="黑体"/>
          <w:rtl w:val="0"/>
          <w:lang w:val="en-US" w:eastAsia="zh-CN"/>
        </w:rPr>
      </w:pPr>
      <w:bookmarkStart w:id="309" w:name="_Toc9054"/>
      <w:bookmarkStart w:id="310" w:name="_Toc26066"/>
      <w:r>
        <w:rPr>
          <w:rFonts w:hint="default" w:ascii="黑体" w:hAnsi="黑体" w:eastAsia="黑体" w:cs="黑体"/>
          <w:rtl w:val="0"/>
          <w:lang w:val="en-US" w:eastAsia="zh-CN"/>
        </w:rPr>
        <w:t>三、提高社会福利保障水平</w:t>
      </w:r>
      <w:bookmarkEnd w:id="309"/>
      <w:bookmarkEnd w:id="310"/>
    </w:p>
    <w:p w14:paraId="6FE5ECE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健全儿童福利保护工作机制，加大困境儿童基本生活、医疗、教育等救助力度，广泛开展适合困境儿童特点和需求的关爱、帮扶、维权等服务，营造全社会关心关爱困境儿童的良好氛围。建立残疾人</w:t>
      </w:r>
      <w:r>
        <w:rPr>
          <w:rFonts w:hint="eastAsia"/>
          <w:lang w:val="en-US" w:eastAsia="zh-CN"/>
        </w:rPr>
        <w:t>“</w:t>
      </w:r>
      <w:r>
        <w:rPr>
          <w:rFonts w:hint="default"/>
          <w:lang w:val="en-US" w:eastAsia="zh-CN"/>
        </w:rPr>
        <w:t>两项补贴</w:t>
      </w:r>
      <w:r>
        <w:rPr>
          <w:rFonts w:hint="eastAsia"/>
          <w:lang w:val="en-US" w:eastAsia="zh-CN"/>
        </w:rPr>
        <w:t>”</w:t>
      </w:r>
      <w:r>
        <w:rPr>
          <w:rFonts w:hint="default"/>
          <w:lang w:val="en-US" w:eastAsia="zh-CN"/>
        </w:rPr>
        <w:t>动态调整机制，实施残疾人</w:t>
      </w:r>
      <w:r>
        <w:rPr>
          <w:rFonts w:hint="eastAsia"/>
          <w:lang w:val="en-US" w:eastAsia="zh-CN"/>
        </w:rPr>
        <w:t>“</w:t>
      </w:r>
      <w:r>
        <w:rPr>
          <w:rFonts w:hint="default"/>
          <w:lang w:val="en-US" w:eastAsia="zh-CN"/>
        </w:rPr>
        <w:t>两项补贴</w:t>
      </w:r>
      <w:r>
        <w:rPr>
          <w:rFonts w:hint="eastAsia"/>
          <w:lang w:val="en-US" w:eastAsia="zh-CN"/>
        </w:rPr>
        <w:t>”</w:t>
      </w:r>
      <w:r>
        <w:rPr>
          <w:rFonts w:hint="default"/>
          <w:lang w:val="en-US" w:eastAsia="zh-CN"/>
        </w:rPr>
        <w:t>全市通办、跨省通办，推动残疾人福利机构建设，鼓励养老机构增设残疾人服务设施，鼓励有条件的日间照料中心建设残疾人托养中心，将重度残疾障碍患者纳入</w:t>
      </w:r>
      <w:r>
        <w:rPr>
          <w:rFonts w:hint="eastAsia"/>
          <w:lang w:val="en-US" w:eastAsia="zh-CN"/>
        </w:rPr>
        <w:t>“</w:t>
      </w:r>
      <w:r>
        <w:rPr>
          <w:rFonts w:hint="default"/>
          <w:lang w:val="en-US" w:eastAsia="zh-CN"/>
        </w:rPr>
        <w:t>民康计划</w:t>
      </w:r>
      <w:r>
        <w:rPr>
          <w:rFonts w:hint="eastAsia"/>
          <w:lang w:val="en-US" w:eastAsia="zh-CN"/>
        </w:rPr>
        <w:t>”</w:t>
      </w:r>
      <w:r>
        <w:rPr>
          <w:rFonts w:hint="default"/>
          <w:lang w:val="en-US" w:eastAsia="zh-CN"/>
        </w:rPr>
        <w:t>实施对象，减轻家人护理负担。提升精神障碍社区康复服务，加强精神障碍社区康复队伍建设，将居家康复、照护技能培训纳入精神障碍社区康复基本服务范围，巩固和增强家庭照护功能。</w:t>
      </w:r>
      <w:r>
        <w:rPr>
          <w:rFonts w:hint="default"/>
          <w:rtl w:val="0"/>
          <w:lang w:val="en-US" w:eastAsia="zh-CN"/>
        </w:rPr>
        <w:t>支持发展公益慈善事业，完善慈善募捐和慈善救助机制，建立健全</w:t>
      </w:r>
      <w:r>
        <w:rPr>
          <w:rFonts w:hint="eastAsia"/>
          <w:rtl w:val="0"/>
          <w:lang w:val="en-US" w:eastAsia="zh-CN"/>
        </w:rPr>
        <w:t>“</w:t>
      </w:r>
      <w:r>
        <w:rPr>
          <w:rFonts w:hint="default"/>
          <w:rtl w:val="0"/>
          <w:lang w:val="en-US" w:eastAsia="zh-CN"/>
        </w:rPr>
        <w:t>慈善+社会工作+志愿服务</w:t>
      </w:r>
      <w:r>
        <w:rPr>
          <w:rFonts w:hint="eastAsia"/>
          <w:rtl w:val="0"/>
          <w:lang w:val="en-US" w:eastAsia="zh-CN"/>
        </w:rPr>
        <w:t>”</w:t>
      </w:r>
      <w:r>
        <w:rPr>
          <w:rFonts w:hint="default"/>
          <w:rtl w:val="0"/>
          <w:lang w:val="en-US" w:eastAsia="zh-CN"/>
        </w:rPr>
        <w:t>融合发展机制，推动建立慈善家园、慈善广场、慈善学校、慈善小区，</w:t>
      </w:r>
      <w:r>
        <w:rPr>
          <w:rFonts w:hint="default"/>
          <w:lang w:val="en-US" w:eastAsia="zh-CN"/>
        </w:rPr>
        <w:t>依法及时查处慈善领域违法行为。</w:t>
      </w:r>
    </w:p>
    <w:p w14:paraId="431EC87D">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ascii="黑体" w:hAnsi="黑体" w:eastAsia="黑体" w:cs="黑体"/>
          <w:rtl w:val="0"/>
          <w:lang w:val="en-US" w:eastAsia="zh-CN"/>
        </w:rPr>
      </w:pPr>
      <w:bookmarkStart w:id="311" w:name="_Toc30393"/>
      <w:bookmarkStart w:id="312" w:name="_Toc263"/>
      <w:r>
        <w:rPr>
          <w:rFonts w:hint="default" w:ascii="黑体" w:hAnsi="黑体" w:eastAsia="黑体" w:cs="黑体"/>
          <w:rtl w:val="0"/>
          <w:lang w:val="en-US" w:eastAsia="zh-CN"/>
        </w:rPr>
        <w:t>四、提升社会事务管理服务</w:t>
      </w:r>
      <w:bookmarkEnd w:id="311"/>
      <w:bookmarkEnd w:id="312"/>
    </w:p>
    <w:p w14:paraId="1A93CF9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提升婚姻管理服务质量。全面推进婚姻登记</w:t>
      </w:r>
      <w:r>
        <w:rPr>
          <w:rFonts w:hint="eastAsia"/>
          <w:lang w:val="en-US" w:eastAsia="zh-CN"/>
        </w:rPr>
        <w:t>“</w:t>
      </w:r>
      <w:r>
        <w:rPr>
          <w:rFonts w:hint="default"/>
          <w:lang w:val="en-US" w:eastAsia="zh-CN"/>
        </w:rPr>
        <w:t>全国通办</w:t>
      </w:r>
      <w:r>
        <w:rPr>
          <w:rFonts w:hint="eastAsia"/>
          <w:lang w:val="en-US" w:eastAsia="zh-CN"/>
        </w:rPr>
        <w:t>”</w:t>
      </w:r>
      <w:r>
        <w:rPr>
          <w:rFonts w:hint="default"/>
          <w:lang w:val="en-US" w:eastAsia="zh-CN"/>
        </w:rPr>
        <w:t>，推进</w:t>
      </w:r>
      <w:r>
        <w:rPr>
          <w:rFonts w:hint="eastAsia"/>
          <w:lang w:val="en-US" w:eastAsia="zh-CN"/>
        </w:rPr>
        <w:t>“</w:t>
      </w:r>
      <w:r>
        <w:rPr>
          <w:rFonts w:hint="default"/>
          <w:lang w:val="en-US" w:eastAsia="zh-CN"/>
        </w:rPr>
        <w:t>互联网+婚姻服务</w:t>
      </w:r>
      <w:r>
        <w:rPr>
          <w:rFonts w:hint="eastAsia"/>
          <w:lang w:val="en-US" w:eastAsia="zh-CN"/>
        </w:rPr>
        <w:t>”</w:t>
      </w:r>
      <w:r>
        <w:rPr>
          <w:rFonts w:hint="default"/>
          <w:lang w:val="en-US" w:eastAsia="zh-CN"/>
        </w:rPr>
        <w:t>，深化婚姻家庭辅导服务，弘扬</w:t>
      </w:r>
      <w:r>
        <w:rPr>
          <w:rFonts w:hint="eastAsia"/>
          <w:lang w:val="en-US" w:eastAsia="zh-CN"/>
        </w:rPr>
        <w:t>“</w:t>
      </w:r>
      <w:r>
        <w:rPr>
          <w:rFonts w:hint="default"/>
          <w:lang w:val="en-US" w:eastAsia="zh-CN"/>
        </w:rPr>
        <w:t>重登记、强责任、崇节俭</w:t>
      </w:r>
      <w:r>
        <w:rPr>
          <w:rFonts w:hint="eastAsia"/>
          <w:lang w:val="en-US" w:eastAsia="zh-CN"/>
        </w:rPr>
        <w:t>”</w:t>
      </w:r>
      <w:r>
        <w:rPr>
          <w:rFonts w:hint="default"/>
          <w:lang w:val="en-US" w:eastAsia="zh-CN"/>
        </w:rPr>
        <w:t>的现代婚俗文化，构建婚姻文化新模式，激发</w:t>
      </w:r>
      <w:r>
        <w:rPr>
          <w:rFonts w:hint="eastAsia"/>
          <w:lang w:val="en-US" w:eastAsia="zh-CN"/>
        </w:rPr>
        <w:t>“</w:t>
      </w:r>
      <w:r>
        <w:rPr>
          <w:rFonts w:hint="default"/>
          <w:lang w:val="en-US" w:eastAsia="zh-CN"/>
        </w:rPr>
        <w:t>甜蜜经济</w:t>
      </w:r>
      <w:r>
        <w:rPr>
          <w:rFonts w:hint="eastAsia"/>
          <w:lang w:val="en-US" w:eastAsia="zh-CN"/>
        </w:rPr>
        <w:t>”</w:t>
      </w:r>
      <w:r>
        <w:rPr>
          <w:rFonts w:hint="default"/>
          <w:lang w:val="en-US" w:eastAsia="zh-CN"/>
        </w:rPr>
        <w:t>消费潜力。建立汉台区未成年人保护工作协调机制，提升汉台区未成年人保护中心、15个镇（街道）未成年人保护工作站建设水平，及时督办、处置侵害未成年人合法权益事件，加强困境儿童及农村留守儿童关爱保护，建成</w:t>
      </w:r>
      <w:r>
        <w:rPr>
          <w:rFonts w:hint="eastAsia"/>
          <w:lang w:val="en-US" w:eastAsia="zh-CN"/>
        </w:rPr>
        <w:t>“</w:t>
      </w:r>
      <w:r>
        <w:rPr>
          <w:rFonts w:hint="default"/>
          <w:lang w:val="en-US" w:eastAsia="zh-CN"/>
        </w:rPr>
        <w:t>以家庭监护为主体、社会监护为补充、国家监护为兜底</w:t>
      </w:r>
      <w:r>
        <w:rPr>
          <w:rFonts w:hint="eastAsia"/>
          <w:lang w:val="en-US" w:eastAsia="zh-CN"/>
        </w:rPr>
        <w:t>”</w:t>
      </w:r>
      <w:r>
        <w:rPr>
          <w:rFonts w:hint="default"/>
          <w:lang w:val="en-US" w:eastAsia="zh-CN"/>
        </w:rPr>
        <w:t>的未成年人监护体系。突出殡葬服务公益性属性，加强殡葬服务设施建设，大力推行节地生态安葬，遏制重殓厚葬等陈规陋习，弘扬健康向上的殡葬文化。加强行政区划和界限管理，持续收集发布汉台区地名保护名录，常态化开展</w:t>
      </w:r>
      <w:r>
        <w:rPr>
          <w:rFonts w:hint="eastAsia"/>
          <w:lang w:val="en-US" w:eastAsia="zh-CN"/>
        </w:rPr>
        <w:t>“</w:t>
      </w:r>
      <w:r>
        <w:rPr>
          <w:rFonts w:hint="default"/>
          <w:lang w:val="en-US" w:eastAsia="zh-CN"/>
        </w:rPr>
        <w:t>跟着地名游汉台</w:t>
      </w:r>
      <w:r>
        <w:rPr>
          <w:rFonts w:hint="eastAsia"/>
          <w:lang w:val="en-US" w:eastAsia="zh-CN"/>
        </w:rPr>
        <w:t>”“</w:t>
      </w:r>
      <w:r>
        <w:rPr>
          <w:rFonts w:hint="default"/>
          <w:lang w:val="en-US" w:eastAsia="zh-CN"/>
        </w:rPr>
        <w:t>小巷故事</w:t>
      </w:r>
      <w:r>
        <w:rPr>
          <w:rFonts w:hint="eastAsia"/>
          <w:lang w:val="en-US" w:eastAsia="zh-CN"/>
        </w:rPr>
        <w:t>”</w:t>
      </w:r>
      <w:r>
        <w:rPr>
          <w:rFonts w:hint="default"/>
          <w:lang w:val="en-US" w:eastAsia="zh-CN"/>
        </w:rPr>
        <w:t>活动，深化</w:t>
      </w:r>
      <w:r>
        <w:rPr>
          <w:rFonts w:hint="eastAsia"/>
          <w:lang w:val="en-US" w:eastAsia="zh-CN"/>
        </w:rPr>
        <w:t>“</w:t>
      </w:r>
      <w:r>
        <w:rPr>
          <w:rFonts w:hint="default"/>
          <w:lang w:val="en-US" w:eastAsia="zh-CN"/>
        </w:rPr>
        <w:t>乡村著名行动</w:t>
      </w:r>
      <w:r>
        <w:rPr>
          <w:rFonts w:hint="eastAsia"/>
          <w:lang w:val="en-US" w:eastAsia="zh-CN"/>
        </w:rPr>
        <w:t>”</w:t>
      </w:r>
      <w:r>
        <w:rPr>
          <w:rFonts w:hint="default"/>
          <w:lang w:val="en-US" w:eastAsia="zh-CN"/>
        </w:rPr>
        <w:t>，推进地名网上审批，逐步实现地名审批</w:t>
      </w:r>
      <w:r>
        <w:rPr>
          <w:rFonts w:hint="eastAsia"/>
          <w:lang w:val="en-US" w:eastAsia="zh-CN"/>
        </w:rPr>
        <w:t>“</w:t>
      </w:r>
      <w:r>
        <w:rPr>
          <w:rFonts w:hint="default"/>
          <w:lang w:val="en-US" w:eastAsia="zh-CN"/>
        </w:rPr>
        <w:t>指尖办、掌上办</w:t>
      </w:r>
      <w:r>
        <w:rPr>
          <w:rFonts w:hint="eastAsia"/>
          <w:lang w:val="en-US" w:eastAsia="zh-CN"/>
        </w:rPr>
        <w:t>”</w:t>
      </w:r>
      <w:r>
        <w:rPr>
          <w:rFonts w:hint="default"/>
          <w:lang w:val="en-US" w:eastAsia="zh-CN"/>
        </w:rPr>
        <w:t>。</w:t>
      </w:r>
    </w:p>
    <w:p w14:paraId="470A8B56">
      <w:pPr>
        <w:pStyle w:val="2"/>
        <w:ind w:left="0" w:leftChars="0" w:firstLine="0" w:firstLineChars="0"/>
        <w:rPr>
          <w:rFonts w:hint="eastAsia"/>
        </w:rPr>
      </w:pPr>
    </w:p>
    <w:p w14:paraId="07650E39">
      <w:pPr>
        <w:pStyle w:val="2"/>
        <w:ind w:left="0" w:leftChars="0" w:firstLine="0" w:firstLineChars="0"/>
        <w:rPr>
          <w:rFonts w:hint="eastAsia"/>
        </w:rPr>
      </w:pPr>
    </w:p>
    <w:p w14:paraId="251FE52E">
      <w:pPr>
        <w:pStyle w:val="2"/>
        <w:ind w:left="0" w:leftChars="0" w:firstLine="0" w:firstLineChars="0"/>
        <w:rPr>
          <w:rFonts w:hint="eastAsia"/>
        </w:rPr>
      </w:pPr>
    </w:p>
    <w:p w14:paraId="1D3AB0DA">
      <w:pPr>
        <w:pStyle w:val="2"/>
        <w:ind w:left="0" w:leftChars="0" w:firstLine="0" w:firstLineChars="0"/>
        <w:rPr>
          <w:rFonts w:hint="eastAsia"/>
        </w:rPr>
      </w:pPr>
    </w:p>
    <w:p w14:paraId="0526883D">
      <w:pPr>
        <w:pStyle w:val="2"/>
        <w:ind w:left="0" w:leftChars="0" w:firstLine="0" w:firstLineChars="0"/>
        <w:rPr>
          <w:rFonts w:hint="eastAsia"/>
        </w:rPr>
      </w:pPr>
    </w:p>
    <w:p w14:paraId="2B5CBE8A">
      <w:pPr>
        <w:pStyle w:val="2"/>
        <w:ind w:left="0" w:leftChars="0" w:firstLine="0" w:firstLineChars="0"/>
        <w:rPr>
          <w:rFonts w:hint="eastAsia"/>
        </w:rPr>
      </w:pPr>
    </w:p>
    <w:p w14:paraId="635670C6">
      <w:pPr>
        <w:pStyle w:val="2"/>
        <w:ind w:left="0" w:leftChars="0" w:firstLine="0" w:firstLineChars="0"/>
        <w:rPr>
          <w:rFonts w:hint="eastAsia"/>
        </w:rPr>
      </w:pPr>
    </w:p>
    <w:p w14:paraId="678D830F">
      <w:pPr>
        <w:pStyle w:val="2"/>
        <w:ind w:left="0" w:leftChars="0" w:firstLine="0" w:firstLineChars="0"/>
        <w:rPr>
          <w:rFonts w:hint="eastAsia"/>
        </w:rPr>
      </w:pPr>
    </w:p>
    <w:p w14:paraId="2D89E4A5">
      <w:pPr>
        <w:pStyle w:val="2"/>
        <w:ind w:left="0" w:leftChars="0" w:firstLine="0" w:firstLineChars="0"/>
        <w:rPr>
          <w:rFonts w:hint="eastAsia"/>
        </w:rPr>
      </w:pPr>
    </w:p>
    <w:p w14:paraId="598EB782">
      <w:pPr>
        <w:pStyle w:val="2"/>
        <w:ind w:left="0" w:leftChars="0" w:firstLine="0" w:firstLineChars="0"/>
        <w:rPr>
          <w:rFonts w:hint="eastAsia"/>
        </w:rPr>
      </w:pPr>
    </w:p>
    <w:p w14:paraId="0727C0C2">
      <w:pPr>
        <w:pStyle w:val="2"/>
        <w:ind w:left="0" w:leftChars="0" w:firstLine="0" w:firstLineChars="0"/>
        <w:rPr>
          <w:rFonts w:hint="eastAsia"/>
        </w:rPr>
      </w:pPr>
    </w:p>
    <w:p w14:paraId="19EB1383">
      <w:pPr>
        <w:pStyle w:val="2"/>
        <w:ind w:left="0" w:leftChars="0" w:firstLine="0" w:firstLineChars="0"/>
        <w:rPr>
          <w:rFonts w:hint="eastAsia"/>
        </w:rPr>
      </w:pPr>
    </w:p>
    <w:p w14:paraId="65A541D6">
      <w:pPr>
        <w:pStyle w:val="2"/>
        <w:ind w:left="0" w:leftChars="0" w:firstLine="0" w:firstLineChars="0"/>
        <w:rPr>
          <w:rFonts w:hint="eastAsia"/>
        </w:rPr>
      </w:pPr>
    </w:p>
    <w:p w14:paraId="6ED361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bookmarkStart w:id="313" w:name="_Toc19703"/>
      <w:r>
        <w:rPr>
          <w:rFonts w:hint="eastAsia" w:ascii="方正小标宋简体" w:hAnsi="方正小标宋简体" w:eastAsia="方正小标宋简体" w:cs="方正小标宋简体"/>
          <w:sz w:val="44"/>
          <w:szCs w:val="44"/>
          <w:lang w:val="en-US" w:eastAsia="zh-CN"/>
        </w:rPr>
        <w:t>第十章  统筹发展和安全，</w:t>
      </w:r>
    </w:p>
    <w:p w14:paraId="1481BC1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打造基层治理的首善区</w:t>
      </w:r>
      <w:bookmarkEnd w:id="313"/>
    </w:p>
    <w:p w14:paraId="469FCC8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仿宋_GB2312" w:hAnsi="仿宋_GB2312" w:eastAsia="仿宋_GB2312" w:cs="仿宋_GB2312"/>
          <w:lang w:val="en-US" w:eastAsia="zh-CN"/>
        </w:rPr>
      </w:pPr>
    </w:p>
    <w:p w14:paraId="4C94ADD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深入贯彻总体国家安全观，统筹发展和安全，把强化高效能治理作为第一保障，坚决防范化解各类风险隐患，努力在推动区域治理现代化上当先锋、走前列，建设基层治理首善区，营造和谐稳定的发展局面。</w:t>
      </w:r>
    </w:p>
    <w:p w14:paraId="6E9253C0">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lang w:val="en-US" w:eastAsia="zh-CN"/>
        </w:rPr>
      </w:pPr>
      <w:bookmarkStart w:id="314" w:name="_Toc7776"/>
      <w:bookmarkStart w:id="315" w:name="_Toc5755"/>
      <w:bookmarkStart w:id="316" w:name="_Toc13115"/>
      <w:r>
        <w:rPr>
          <w:rFonts w:hint="eastAsia" w:ascii="黑体" w:hAnsi="黑体" w:eastAsia="黑体" w:cs="黑体"/>
          <w:lang w:val="en-US" w:eastAsia="zh-CN"/>
        </w:rPr>
        <w:t>第一节  加强重点领域安全能力建设</w:t>
      </w:r>
      <w:bookmarkEnd w:id="314"/>
      <w:bookmarkEnd w:id="315"/>
      <w:bookmarkEnd w:id="316"/>
    </w:p>
    <w:p w14:paraId="65257251">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仿宋_GB2312" w:hAnsi="仿宋_GB2312" w:eastAsia="仿宋_GB2312" w:cs="仿宋_GB2312"/>
          <w:lang w:val="en-US" w:eastAsia="zh-CN"/>
        </w:rPr>
      </w:pPr>
      <w:r>
        <w:rPr>
          <w:rFonts w:hint="eastAsia" w:ascii="楷体_GB2312" w:hAnsi="楷体_GB2312" w:eastAsia="楷体_GB2312" w:cs="楷体_GB2312"/>
          <w:lang w:val="en-US" w:eastAsia="zh-CN"/>
        </w:rPr>
        <w:t>坚决捍卫总体国家安全观。</w:t>
      </w:r>
      <w:r>
        <w:rPr>
          <w:rFonts w:hint="eastAsia" w:ascii="仿宋_GB2312" w:hAnsi="仿宋_GB2312" w:eastAsia="仿宋_GB2312" w:cs="仿宋_GB2312"/>
          <w:lang w:val="en-US" w:eastAsia="zh-CN"/>
        </w:rPr>
        <w:t>把握传统和非传统</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两个领域</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，突出网上和网下</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两个战场</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坚定维护国家政权安全。深入开展反渗透、反颠覆、反恐怖、反邪教斗争，深化反间防谍、严打暴恐等专项行动，深入推进防范打击邪教破坏行动，确保政治领域绝对安全。加强国家安全宣传教育和全民国防教育，增强全民国家安全意识和素养，巩固国家安全人民防线。深入开展</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清朗</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净网</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护苗</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秋风</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等专项行动，坚决打击整治网络谣言和有害信息，坚决防止发生影响大局的网络舆情炒作事件，坚决守牢思想阵地、舆论阵地、网络阵地、文化阵地，净化网上政治生态，有效维护网络安全。</w:t>
      </w:r>
    </w:p>
    <w:p w14:paraId="0792DBE3">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仿宋_GB2312" w:hAnsi="仿宋_GB2312" w:eastAsia="仿宋_GB2312" w:cs="仿宋_GB2312"/>
          <w:lang w:val="en-US" w:eastAsia="zh-CN"/>
        </w:rPr>
      </w:pPr>
      <w:r>
        <w:rPr>
          <w:rFonts w:hint="eastAsia" w:ascii="楷体_GB2312" w:hAnsi="楷体_GB2312" w:eastAsia="楷体_GB2312" w:cs="楷体_GB2312"/>
          <w:lang w:val="en-US" w:eastAsia="zh-CN"/>
        </w:rPr>
        <w:t>防范化解经济领域风险。</w:t>
      </w:r>
      <w:r>
        <w:rPr>
          <w:rFonts w:hint="eastAsia" w:ascii="仿宋_GB2312" w:hAnsi="仿宋_GB2312" w:eastAsia="仿宋_GB2312" w:cs="仿宋_GB2312"/>
          <w:lang w:val="en-US" w:eastAsia="zh-CN"/>
        </w:rPr>
        <w:t>加强对各类风险隐患的调查研究，健全风险预警、决策评估、源头化解和防控机制。统筹抓好金融、企业债务、政府债务风险防范化解。规范政府性投融资平台投资行为，推动市场化实体化转型，剥离平台公司融资职能，增强</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造血</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功能，提升运营水平。健全完善财政统筹、风险预警、监督问责、考核奖惩等债务管控机制，严格控制债务总量，坚决遏制债务增量，坚决遏制违规举债融资和新增隐性债务，稳妥化解债务存量。防范化解房地产领域风险，稳妥推进商品住房销售制度改革，优化预售资金监管。全面加强金融监管，严厉打击非法金融活动，坚决守住不发生区域性、系统性风险底线。</w:t>
      </w:r>
    </w:p>
    <w:p w14:paraId="14AC0A11">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lang w:val="en-US" w:eastAsia="zh-CN"/>
        </w:rPr>
      </w:pPr>
      <w:bookmarkStart w:id="317" w:name="_Toc11975"/>
      <w:r>
        <w:rPr>
          <w:rFonts w:hint="eastAsia" w:ascii="黑体" w:hAnsi="黑体" w:eastAsia="黑体" w:cs="黑体"/>
          <w:lang w:val="en-US" w:eastAsia="zh-CN"/>
        </w:rPr>
        <w:t>第二节  持续推动国防能力建设</w:t>
      </w:r>
      <w:bookmarkEnd w:id="317"/>
    </w:p>
    <w:p w14:paraId="0EE2681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落实跨军地改革措施，健全国防动员指挥运用军地协调机制，加强军事需求对接、资源要素共享，实现国防动员跨军地、跨领域深度融合。推进企业动员能力建设，大力支持引导</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民参军</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，增强民用工业领域动员能力预置，加强新域新质动员能力培育。完善国防动员实施预案体系，健全国防动员潜力统计调查工作机制，加快后备力量建设。深化全民国防教育，增强一体化国防动员能力。</w:t>
      </w:r>
    </w:p>
    <w:tbl>
      <w:tblPr>
        <w:tblStyle w:val="15"/>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7"/>
      </w:tblGrid>
      <w:tr w14:paraId="37FD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7" w:type="dxa"/>
            <w:noWrap w:val="0"/>
            <w:vAlign w:val="top"/>
          </w:tcPr>
          <w:p w14:paraId="649EF5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专栏10-1  国防动员建设工程</w:t>
            </w:r>
          </w:p>
        </w:tc>
      </w:tr>
      <w:tr w14:paraId="2AD0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7" w:type="dxa"/>
            <w:noWrap w:val="0"/>
            <w:vAlign w:val="top"/>
          </w:tcPr>
          <w:p w14:paraId="0DA20162">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b/>
                <w:bCs/>
                <w:color w:val="auto"/>
                <w:spacing w:val="0"/>
                <w:kern w:val="2"/>
                <w:sz w:val="24"/>
                <w:szCs w:val="24"/>
                <w:vertAlign w:val="baseline"/>
                <w:lang w:val="en-US" w:eastAsia="zh-CN" w:bidi="ar-SA"/>
              </w:rPr>
            </w:pPr>
            <w:r>
              <w:rPr>
                <w:rFonts w:hint="default" w:ascii="Times New Roman" w:hAnsi="Times New Roman" w:cs="Times New Roman"/>
                <w:b w:val="0"/>
                <w:bCs w:val="0"/>
                <w:color w:val="auto"/>
                <w:spacing w:val="0"/>
                <w:kern w:val="2"/>
                <w:sz w:val="24"/>
                <w:szCs w:val="24"/>
                <w:vertAlign w:val="baseline"/>
                <w:lang w:val="en-US" w:eastAsia="zh-CN" w:bidi="ar-SA"/>
              </w:rPr>
              <w:t>重点建设汉台区国防动员基本指挥所、汉台区新域新质动员力量孵化基地、汉台区基层武装工作标准化阵地、汉台区民兵综合训练基地、汉台区战略物资储备库、汉台区国防教育与双拥文化基地等项目。</w:t>
            </w:r>
          </w:p>
        </w:tc>
      </w:tr>
    </w:tbl>
    <w:p w14:paraId="1918314E">
      <w:pPr>
        <w:jc w:val="center"/>
        <w:rPr>
          <w:rFonts w:hint="eastAsia" w:ascii="黑体" w:hAnsi="黑体" w:eastAsia="黑体" w:cs="黑体"/>
          <w:lang w:val="en-US" w:eastAsia="zh-CN"/>
        </w:rPr>
      </w:pPr>
      <w:bookmarkStart w:id="318" w:name="_Toc10307"/>
      <w:bookmarkStart w:id="319" w:name="_Toc31760"/>
      <w:bookmarkStart w:id="320" w:name="_Toc11295"/>
      <w:r>
        <w:rPr>
          <w:rFonts w:hint="eastAsia" w:ascii="黑体" w:hAnsi="黑体" w:eastAsia="黑体" w:cs="黑体"/>
          <w:lang w:val="en-US" w:eastAsia="zh-CN"/>
        </w:rPr>
        <w:t>第三节  全面提高公共安全保障能力</w:t>
      </w:r>
      <w:bookmarkEnd w:id="318"/>
      <w:bookmarkEnd w:id="319"/>
      <w:bookmarkEnd w:id="320"/>
    </w:p>
    <w:p w14:paraId="57493423">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楷体_GB2312" w:hAnsi="楷体_GB2312" w:eastAsia="楷体_GB2312" w:cs="楷体_GB2312"/>
          <w:lang w:val="en-US" w:eastAsia="zh-CN"/>
        </w:rPr>
        <w:t>加强安全生产监督管理。</w:t>
      </w:r>
      <w:r>
        <w:rPr>
          <w:rFonts w:hint="default"/>
          <w:lang w:val="en-US" w:eastAsia="zh-CN"/>
        </w:rPr>
        <w:t>牢固树立安全发展理念，严格落实地方党政领导干部安全生产责任制和管理制度，严格落实企业安全生产主体责任。加强安全生产培训和宣传教育。聚焦交通运输、建筑施工、危化品、城镇燃气、特种设备、食品药品等重点领域，深化</w:t>
      </w:r>
      <w:r>
        <w:rPr>
          <w:rFonts w:hint="eastAsia"/>
          <w:lang w:val="en-US" w:eastAsia="zh-CN"/>
        </w:rPr>
        <w:t>“</w:t>
      </w:r>
      <w:r>
        <w:rPr>
          <w:rFonts w:hint="default"/>
          <w:lang w:val="en-US" w:eastAsia="zh-CN"/>
        </w:rPr>
        <w:t>一件事全链条</w:t>
      </w:r>
      <w:r>
        <w:rPr>
          <w:rFonts w:hint="eastAsia"/>
          <w:lang w:val="en-US" w:eastAsia="zh-CN"/>
        </w:rPr>
        <w:t>”</w:t>
      </w:r>
      <w:r>
        <w:rPr>
          <w:rFonts w:hint="default"/>
          <w:lang w:val="en-US" w:eastAsia="zh-CN"/>
        </w:rPr>
        <w:t>整治，常态化开展安全隐患大排查大整治，防范遏制重特大安全生产事故发生。建立重大危险源监控制度，严格重大危险源申报、登记、检测和评估。加强消防工作，优化布局消防救援站，推进消防基础设施建设和安全改造，坚决防范遏制重特大灾害事故。</w:t>
      </w:r>
    </w:p>
    <w:p w14:paraId="141749F4">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强化食品药品安全监督。</w:t>
      </w:r>
      <w:r>
        <w:rPr>
          <w:rFonts w:hint="default"/>
          <w:lang w:val="en-US" w:eastAsia="zh-CN"/>
        </w:rPr>
        <w:t>完善食品药品安全责任体系，进一步强化食品药品全过程监管，严厉打击食品药品违法犯罪行为，确保人民群众</w:t>
      </w:r>
      <w:r>
        <w:rPr>
          <w:rFonts w:hint="eastAsia"/>
          <w:lang w:val="en-US" w:eastAsia="zh-CN"/>
        </w:rPr>
        <w:t>“</w:t>
      </w:r>
      <w:r>
        <w:rPr>
          <w:rFonts w:hint="default"/>
          <w:lang w:val="en-US" w:eastAsia="zh-CN"/>
        </w:rPr>
        <w:t>舌尖上的安全</w:t>
      </w:r>
      <w:r>
        <w:rPr>
          <w:rFonts w:hint="eastAsia"/>
          <w:lang w:val="en-US" w:eastAsia="zh-CN"/>
        </w:rPr>
        <w:t>”</w:t>
      </w:r>
      <w:r>
        <w:rPr>
          <w:rFonts w:hint="default"/>
          <w:lang w:val="en-US" w:eastAsia="zh-CN"/>
        </w:rPr>
        <w:t>。聚焦药品零售、医疗器械、化妆品、保健食品等高风险产品经营使用单位，完善食品药品信息化追溯体系，强化源头、传导、转化等关键领域的风险管控，严格食品添加剂监管，健全食品药品安全应急体系，推进食品药品企业诚信经营。推动食品药品安全科普宣传教育，提升公众食品药品安全科学素养。</w:t>
      </w:r>
    </w:p>
    <w:p w14:paraId="2020884A">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default" w:ascii="楷体_GB2312" w:hAnsi="楷体_GB2312" w:eastAsia="楷体_GB2312" w:cs="楷体_GB2312"/>
          <w:lang w:val="en-US" w:eastAsia="zh-CN"/>
        </w:rPr>
        <w:t>深化网络安全综合治理。</w:t>
      </w:r>
      <w:r>
        <w:rPr>
          <w:rFonts w:hint="default"/>
          <w:lang w:val="en-US" w:eastAsia="zh-CN"/>
        </w:rPr>
        <w:t>加强个人信息保护。</w:t>
      </w:r>
      <w:r>
        <w:rPr>
          <w:rFonts w:hint="default"/>
        </w:rPr>
        <w:t>推动公安机关与民政、卫健、住建、经贸、应急管理等相关政府部门以及电信、金融、运输、学校等企事业单位建立高效的信息资源共享机制。加强信息网络监管，严格信息系统分级保护和风险评估，切实保障信息安全。</w:t>
      </w:r>
    </w:p>
    <w:p w14:paraId="3B8052DC">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加强防灾减灾能力建设。</w:t>
      </w:r>
      <w:r>
        <w:rPr>
          <w:rFonts w:hint="default"/>
          <w:lang w:val="en-US" w:eastAsia="zh-CN"/>
        </w:rPr>
        <w:t>强化市区联动，统筹加强重大自然灾害易发地监测与防治，完善灾害预警预报和信息发布机制，及时发布灾情预警信息。建设城市人防、防洪排涝、应急水源、避险场所、森林防火、消防站（所）等设施，提升洪涝、干旱、森林火灾等灾害防御能力。加强应急避险、自救互救知识宣传，提高全社会防灾避险和自救互救能力。</w:t>
      </w:r>
    </w:p>
    <w:p w14:paraId="41F20F03">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eastAsia="zh-CN"/>
        </w:rPr>
      </w:pPr>
      <w:r>
        <w:rPr>
          <w:rFonts w:hint="default" w:ascii="楷体_GB2312" w:hAnsi="楷体_GB2312" w:eastAsia="楷体_GB2312" w:cs="楷体_GB2312"/>
          <w:lang w:val="en-US" w:eastAsia="zh-CN"/>
        </w:rPr>
        <w:t>强化应急管理能力建设。</w:t>
      </w:r>
      <w:r>
        <w:rPr>
          <w:rFonts w:hint="default"/>
        </w:rPr>
        <w:t>完善传染病和突发公共卫生事件监测预警、应急响应平台和决策指挥系统，提高早期预防、风险研判和及时处理能力。强化突发事件应急指挥与决策系统建设，建立组织指挥、救援力量调用、物资储运分配等应急联动机制，完善跨区域、跨部门、跨行业的应急物资储备、调拨和紧急配送等机制</w:t>
      </w:r>
      <w:r>
        <w:rPr>
          <w:rFonts w:hint="default"/>
          <w:lang w:eastAsia="zh-CN"/>
        </w:rPr>
        <w:t>，</w:t>
      </w:r>
      <w:r>
        <w:rPr>
          <w:rFonts w:hint="default"/>
          <w:lang w:val="en-US" w:eastAsia="zh-CN"/>
        </w:rPr>
        <w:t>完善救灾准备、灾情管理、应急救助、灾损评估、恢复重建等相衔接的救助机制。</w:t>
      </w:r>
      <w:r>
        <w:rPr>
          <w:rFonts w:hint="default"/>
        </w:rPr>
        <w:t>加强应急救援队伍建设，引导社会力量参与防灾减灾工作</w:t>
      </w:r>
      <w:r>
        <w:rPr>
          <w:rFonts w:hint="default"/>
          <w:lang w:eastAsia="zh-CN"/>
        </w:rPr>
        <w:t>。</w:t>
      </w:r>
    </w:p>
    <w:tbl>
      <w:tblPr>
        <w:tblStyle w:val="15"/>
        <w:tblW w:w="0" w:type="auto"/>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0"/>
      </w:tblGrid>
      <w:tr w14:paraId="56D4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0" w:type="dxa"/>
            <w:noWrap w:val="0"/>
            <w:vAlign w:val="top"/>
          </w:tcPr>
          <w:p w14:paraId="7752B0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专栏10-2  公共安全保障工程</w:t>
            </w:r>
          </w:p>
        </w:tc>
      </w:tr>
      <w:tr w14:paraId="2977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0" w:type="dxa"/>
            <w:noWrap w:val="0"/>
            <w:vAlign w:val="top"/>
          </w:tcPr>
          <w:p w14:paraId="1F9D40FB">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b/>
                <w:bCs/>
                <w:color w:val="auto"/>
                <w:spacing w:val="0"/>
                <w:kern w:val="2"/>
                <w:sz w:val="24"/>
                <w:szCs w:val="24"/>
                <w:vertAlign w:val="baseline"/>
                <w:lang w:val="en-US" w:eastAsia="zh-CN" w:bidi="ar-SA"/>
              </w:rPr>
            </w:pPr>
            <w:r>
              <w:rPr>
                <w:rFonts w:hint="default" w:ascii="Times New Roman" w:hAnsi="Times New Roman" w:eastAsia="仿宋_GB2312" w:cs="Times New Roman"/>
                <w:b w:val="0"/>
                <w:bCs w:val="0"/>
                <w:color w:val="auto"/>
                <w:spacing w:val="0"/>
                <w:kern w:val="2"/>
                <w:sz w:val="24"/>
                <w:szCs w:val="24"/>
                <w:vertAlign w:val="baseline"/>
                <w:lang w:val="en-US" w:eastAsia="zh-CN" w:bidi="ar-SA"/>
              </w:rPr>
              <w:t>重点建设</w:t>
            </w:r>
            <w:r>
              <w:rPr>
                <w:rFonts w:hint="default" w:ascii="Times New Roman" w:hAnsi="Times New Roman" w:cs="Times New Roman"/>
                <w:b w:val="0"/>
                <w:bCs w:val="0"/>
                <w:color w:val="auto"/>
                <w:spacing w:val="0"/>
                <w:kern w:val="2"/>
                <w:sz w:val="24"/>
                <w:szCs w:val="24"/>
                <w:vertAlign w:val="baseline"/>
                <w:lang w:val="en-US" w:eastAsia="zh-CN" w:bidi="ar-SA"/>
              </w:rPr>
              <w:t>汉台区地质灾害综合防治与智能化监测预警体系、汉台区军队粮食供应站扩建提升、中储粮汉中直属库迁移、汉台区粮食和物资应急储备能力提升、城市基础设施生命线安全工程、陕甘川毗邻地区危险化学品应急救援实训基地、汉台区应急救援基地救灾物资储备仓库二期、城东南片区消防救援站、乡村消防设施、</w:t>
            </w:r>
            <w:r>
              <w:rPr>
                <w:rFonts w:hint="default" w:ascii="Times New Roman" w:hAnsi="Times New Roman" w:eastAsia="仿宋_GB2312" w:cs="Times New Roman"/>
                <w:b w:val="0"/>
                <w:bCs w:val="0"/>
                <w:color w:val="auto"/>
                <w:spacing w:val="0"/>
                <w:kern w:val="2"/>
                <w:sz w:val="24"/>
                <w:szCs w:val="24"/>
                <w:vertAlign w:val="baseline"/>
                <w:lang w:val="en-US" w:eastAsia="zh-CN" w:bidi="ar-SA"/>
              </w:rPr>
              <w:t>老旧小区消防设施改造</w:t>
            </w:r>
            <w:r>
              <w:rPr>
                <w:rFonts w:hint="default" w:ascii="Times New Roman" w:hAnsi="Times New Roman" w:cs="Times New Roman"/>
                <w:b w:val="0"/>
                <w:bCs w:val="0"/>
                <w:color w:val="auto"/>
                <w:spacing w:val="0"/>
                <w:kern w:val="2"/>
                <w:sz w:val="24"/>
                <w:szCs w:val="24"/>
                <w:vertAlign w:val="baseline"/>
                <w:lang w:val="en-US" w:eastAsia="zh-CN" w:bidi="ar-SA"/>
              </w:rPr>
              <w:t>与</w:t>
            </w:r>
            <w:r>
              <w:rPr>
                <w:rFonts w:hint="default" w:ascii="Times New Roman" w:hAnsi="Times New Roman" w:eastAsia="仿宋_GB2312" w:cs="Times New Roman"/>
                <w:b w:val="0"/>
                <w:bCs w:val="0"/>
                <w:color w:val="auto"/>
                <w:spacing w:val="0"/>
                <w:kern w:val="2"/>
                <w:sz w:val="24"/>
                <w:szCs w:val="24"/>
                <w:vertAlign w:val="baseline"/>
                <w:lang w:val="en-US" w:eastAsia="zh-CN" w:bidi="ar-SA"/>
              </w:rPr>
              <w:t>维修、</w:t>
            </w:r>
            <w:r>
              <w:rPr>
                <w:rFonts w:hint="default" w:ascii="Times New Roman" w:hAnsi="Times New Roman" w:cs="Times New Roman"/>
                <w:b w:val="0"/>
                <w:bCs w:val="0"/>
                <w:color w:val="auto"/>
                <w:spacing w:val="0"/>
                <w:kern w:val="2"/>
                <w:sz w:val="24"/>
                <w:szCs w:val="24"/>
                <w:vertAlign w:val="baseline"/>
                <w:lang w:val="en-US" w:eastAsia="zh-CN" w:bidi="ar-SA"/>
              </w:rPr>
              <w:t>汉台区人防疏散基地、汉中市人民医院地下人防急救医院、汉台区应对极端天气能力提升、</w:t>
            </w:r>
            <w:r>
              <w:rPr>
                <w:rFonts w:hint="default" w:ascii="Times New Roman" w:hAnsi="Times New Roman" w:eastAsia="仿宋_GB2312" w:cs="Times New Roman"/>
                <w:b w:val="0"/>
                <w:bCs w:val="0"/>
                <w:color w:val="auto"/>
                <w:spacing w:val="0"/>
                <w:kern w:val="2"/>
                <w:sz w:val="24"/>
                <w:szCs w:val="24"/>
                <w:vertAlign w:val="baseline"/>
                <w:lang w:val="en-US" w:eastAsia="zh-CN" w:bidi="ar-SA"/>
              </w:rPr>
              <w:t>汉台区气象灾害监测中心等项目。</w:t>
            </w:r>
          </w:p>
        </w:tc>
      </w:tr>
    </w:tbl>
    <w:p w14:paraId="00307C3D">
      <w:pPr>
        <w:jc w:val="center"/>
        <w:rPr>
          <w:rFonts w:hint="eastAsia" w:ascii="黑体" w:hAnsi="黑体" w:eastAsia="黑体" w:cs="黑体"/>
          <w:lang w:val="en-US" w:eastAsia="zh-CN"/>
        </w:rPr>
      </w:pPr>
      <w:bookmarkStart w:id="321" w:name="_Toc22529"/>
      <w:bookmarkStart w:id="322" w:name="_Toc13210"/>
      <w:bookmarkStart w:id="323" w:name="_Toc28370"/>
      <w:r>
        <w:rPr>
          <w:rFonts w:hint="eastAsia" w:ascii="黑体" w:hAnsi="黑体" w:eastAsia="黑体" w:cs="黑体"/>
          <w:lang w:val="en-US" w:eastAsia="zh-CN"/>
        </w:rPr>
        <w:t>第四节  建设更高水平“法治汉台</w:t>
      </w:r>
      <w:bookmarkEnd w:id="321"/>
      <w:bookmarkEnd w:id="322"/>
      <w:bookmarkEnd w:id="323"/>
      <w:r>
        <w:rPr>
          <w:rFonts w:hint="eastAsia" w:ascii="黑体" w:hAnsi="黑体" w:eastAsia="黑体" w:cs="黑体"/>
          <w:lang w:val="en-US" w:eastAsia="zh-CN"/>
        </w:rPr>
        <w:t>”</w:t>
      </w:r>
    </w:p>
    <w:p w14:paraId="17BFFBEC">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楷体_GB2312" w:hAnsi="楷体_GB2312" w:eastAsia="楷体_GB2312" w:cs="楷体_GB2312"/>
          <w:lang w:val="en-US" w:eastAsia="zh-CN"/>
        </w:rPr>
        <w:t>推进法治政府建设。</w:t>
      </w:r>
      <w:r>
        <w:rPr>
          <w:rFonts w:hint="default"/>
          <w:lang w:val="en-US" w:eastAsia="zh-CN"/>
        </w:rPr>
        <w:t>认真学习贯彻习近平法治思想，进一步完善法治建设领导体制和工作机制，统筹推进全面依法治区工作。健全重大行政决策制度，严格执行公众参与、专家论证、风险评估、合法性审查、集体讨论决定等法定程序。推进综合执法体制改革，全面落实行政执法</w:t>
      </w:r>
      <w:r>
        <w:rPr>
          <w:rFonts w:hint="eastAsia"/>
          <w:lang w:val="en-US" w:eastAsia="zh-CN"/>
        </w:rPr>
        <w:t>“</w:t>
      </w:r>
      <w:r>
        <w:rPr>
          <w:rFonts w:hint="default"/>
          <w:lang w:val="en-US" w:eastAsia="zh-CN"/>
        </w:rPr>
        <w:t>三项制度</w:t>
      </w:r>
      <w:r>
        <w:rPr>
          <w:rFonts w:hint="eastAsia"/>
          <w:lang w:val="en-US" w:eastAsia="zh-CN"/>
        </w:rPr>
        <w:t>”</w:t>
      </w:r>
      <w:r>
        <w:rPr>
          <w:rFonts w:hint="default"/>
          <w:lang w:val="en-US" w:eastAsia="zh-CN"/>
        </w:rPr>
        <w:t>，加强执法监督，提升行政执法规范化水平。规范司法权力运行，完善司法公正实现和评价机制，提高司法裁判公正性、稳定性、权威性。强化检查监督，加强公益诉讼。加强领导干部依法办事监督检查，完善综合性法治评价工作机制。强化信访积案化解和重复访治理，推进信访工作法治化。</w:t>
      </w:r>
    </w:p>
    <w:p w14:paraId="488BB786">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加快法治社会建设。</w:t>
      </w:r>
      <w:r>
        <w:rPr>
          <w:rFonts w:hint="default"/>
          <w:lang w:val="en-US" w:eastAsia="zh-CN"/>
        </w:rPr>
        <w:t>坚持把全面普法和守法作为依法治区的长期性基础性工作。抓好</w:t>
      </w:r>
      <w:r>
        <w:rPr>
          <w:rFonts w:hint="eastAsia"/>
          <w:lang w:val="en-US" w:eastAsia="zh-CN"/>
        </w:rPr>
        <w:t>“</w:t>
      </w:r>
      <w:r>
        <w:rPr>
          <w:rFonts w:hint="default"/>
          <w:lang w:val="en-US" w:eastAsia="zh-CN"/>
        </w:rPr>
        <w:t>八五</w:t>
      </w:r>
      <w:r>
        <w:rPr>
          <w:rFonts w:hint="eastAsia"/>
          <w:lang w:val="en-US" w:eastAsia="zh-CN"/>
        </w:rPr>
        <w:t>”</w:t>
      </w:r>
      <w:r>
        <w:rPr>
          <w:rFonts w:hint="default"/>
          <w:lang w:val="en-US" w:eastAsia="zh-CN"/>
        </w:rPr>
        <w:t>普法总结验收，制定并组织实施</w:t>
      </w:r>
      <w:r>
        <w:rPr>
          <w:rFonts w:hint="eastAsia"/>
          <w:lang w:val="en-US" w:eastAsia="zh-CN"/>
        </w:rPr>
        <w:t>“</w:t>
      </w:r>
      <w:r>
        <w:rPr>
          <w:rFonts w:hint="default"/>
          <w:lang w:val="en-US" w:eastAsia="zh-CN"/>
        </w:rPr>
        <w:t>九五</w:t>
      </w:r>
      <w:r>
        <w:rPr>
          <w:rFonts w:hint="eastAsia"/>
          <w:lang w:val="en-US" w:eastAsia="zh-CN"/>
        </w:rPr>
        <w:t>”</w:t>
      </w:r>
      <w:r>
        <w:rPr>
          <w:rFonts w:hint="default"/>
          <w:lang w:val="en-US" w:eastAsia="zh-CN"/>
        </w:rPr>
        <w:t>普法规划。持续推进</w:t>
      </w:r>
      <w:r>
        <w:rPr>
          <w:rFonts w:hint="eastAsia"/>
          <w:lang w:val="en-US" w:eastAsia="zh-CN"/>
        </w:rPr>
        <w:t>“</w:t>
      </w:r>
      <w:r>
        <w:rPr>
          <w:rFonts w:hint="default"/>
          <w:lang w:val="en-US" w:eastAsia="zh-CN"/>
        </w:rPr>
        <w:t>法律九进</w:t>
      </w:r>
      <w:r>
        <w:rPr>
          <w:rFonts w:hint="eastAsia"/>
          <w:lang w:val="en-US" w:eastAsia="zh-CN"/>
        </w:rPr>
        <w:t>”</w:t>
      </w:r>
      <w:r>
        <w:rPr>
          <w:rFonts w:hint="default"/>
          <w:lang w:val="en-US" w:eastAsia="zh-CN"/>
        </w:rPr>
        <w:t>，增强全民法治观念和法治意识。创新法治宣传教育，深化</w:t>
      </w:r>
      <w:r>
        <w:rPr>
          <w:rFonts w:hint="eastAsia"/>
          <w:lang w:val="en-US" w:eastAsia="zh-CN"/>
        </w:rPr>
        <w:t>“</w:t>
      </w:r>
      <w:r>
        <w:rPr>
          <w:rFonts w:hint="default"/>
          <w:lang w:val="en-US" w:eastAsia="zh-CN"/>
        </w:rPr>
        <w:t>互联网+法治宣传</w:t>
      </w:r>
      <w:r>
        <w:rPr>
          <w:rFonts w:hint="eastAsia"/>
          <w:lang w:val="en-US" w:eastAsia="zh-CN"/>
        </w:rPr>
        <w:t>”</w:t>
      </w:r>
      <w:r>
        <w:rPr>
          <w:rFonts w:hint="default"/>
          <w:lang w:val="en-US" w:eastAsia="zh-CN"/>
        </w:rPr>
        <w:t>模式，做好典型案例汇编，开展</w:t>
      </w:r>
      <w:r>
        <w:rPr>
          <w:rFonts w:hint="eastAsia"/>
          <w:lang w:val="en-US" w:eastAsia="zh-CN"/>
        </w:rPr>
        <w:t>“</w:t>
      </w:r>
      <w:r>
        <w:rPr>
          <w:rFonts w:hint="default"/>
          <w:lang w:val="en-US" w:eastAsia="zh-CN"/>
        </w:rPr>
        <w:t>以案释法</w:t>
      </w:r>
      <w:r>
        <w:rPr>
          <w:rFonts w:hint="eastAsia"/>
          <w:lang w:val="en-US" w:eastAsia="zh-CN"/>
        </w:rPr>
        <w:t>”</w:t>
      </w:r>
      <w:r>
        <w:rPr>
          <w:rFonts w:hint="default"/>
          <w:lang w:val="en-US" w:eastAsia="zh-CN"/>
        </w:rPr>
        <w:t>工作。深化行政复议、司法救助等制度改革，加强法律援助。加大预防和打击电信网络诈骗、非法集资、毒品犯罪等工作力度。建立健全扫黑除恶长效机制，巩固深化扫黑除恶专项斗争成果。实施</w:t>
      </w:r>
      <w:r>
        <w:rPr>
          <w:rFonts w:hint="eastAsia"/>
          <w:lang w:val="en-US" w:eastAsia="zh-CN"/>
        </w:rPr>
        <w:t>“</w:t>
      </w:r>
      <w:r>
        <w:rPr>
          <w:rFonts w:hint="default"/>
          <w:lang w:val="en-US" w:eastAsia="zh-CN"/>
        </w:rPr>
        <w:t>法律明白人</w:t>
      </w:r>
      <w:r>
        <w:rPr>
          <w:rFonts w:hint="eastAsia"/>
          <w:lang w:val="en-US" w:eastAsia="zh-CN"/>
        </w:rPr>
        <w:t>”</w:t>
      </w:r>
      <w:r>
        <w:rPr>
          <w:rFonts w:hint="default"/>
          <w:lang w:val="en-US" w:eastAsia="zh-CN"/>
        </w:rPr>
        <w:t>培养工程、民主法治示范村（社区）创建活动，推动形成办事依法、遇事找法、解决问题用法、化解矛盾靠法的法治环境，营造尊法学法守法用法的社会氛围。</w:t>
      </w:r>
    </w:p>
    <w:p w14:paraId="405EFFE9">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加强民族宗教工作。</w:t>
      </w:r>
      <w:r>
        <w:rPr>
          <w:rFonts w:hint="default"/>
          <w:lang w:val="en-US" w:eastAsia="zh-CN"/>
        </w:rPr>
        <w:t>依法治理民族事务，坚持铸牢中华民族共同体意识，促进各民族像石榴籽一样紧紧抱在一起。依法管理宗教事务，始终坚持我国宗教中国化方向，巩固深化宗教治理成果，进一步提高宗教工作法治化水平，维护民族和睦、宗教和顺、社会和谐。</w:t>
      </w:r>
    </w:p>
    <w:p w14:paraId="5955A63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default" w:ascii="楷体_GB2312" w:hAnsi="楷体_GB2312" w:eastAsia="楷体_GB2312" w:cs="楷体_GB2312"/>
          <w:lang w:val="en-US" w:eastAsia="zh-CN"/>
        </w:rPr>
        <w:t>做好退役军人和双拥工作。</w:t>
      </w:r>
      <w:r>
        <w:rPr>
          <w:rFonts w:hint="default"/>
        </w:rPr>
        <w:t>认真落实各项优待抚恤、接收安置政策，持续提高优抚对象保障标准，切实把退役军人</w:t>
      </w:r>
      <w:r>
        <w:rPr>
          <w:rFonts w:hint="eastAsia"/>
          <w:lang w:eastAsia="zh-CN"/>
        </w:rPr>
        <w:t>“</w:t>
      </w:r>
      <w:r>
        <w:rPr>
          <w:rFonts w:hint="default"/>
        </w:rPr>
        <w:t>接</w:t>
      </w:r>
      <w:r>
        <w:rPr>
          <w:rFonts w:hint="default"/>
          <w:lang w:val="en-US" w:eastAsia="zh-CN"/>
        </w:rPr>
        <w:t>收</w:t>
      </w:r>
      <w:r>
        <w:rPr>
          <w:rFonts w:hint="default"/>
        </w:rPr>
        <w:t>安置好、服务保障好、教育管理好、作用发挥好、权益维护好</w:t>
      </w:r>
      <w:r>
        <w:rPr>
          <w:rFonts w:hint="eastAsia"/>
          <w:lang w:eastAsia="zh-CN"/>
        </w:rPr>
        <w:t>”</w:t>
      </w:r>
      <w:r>
        <w:rPr>
          <w:rFonts w:hint="default"/>
        </w:rPr>
        <w:t>，让退役军人暖心、现役军人安心、党和政府放心。持续加强教育引导，强化典型示范引领，搭建干事创业平台，激励广大退役军人在基层治理、城乡建管、应急处突中发挥作用。不断夯实基层基础，巩固建强服务阵地，提升服务</w:t>
      </w:r>
      <w:r>
        <w:rPr>
          <w:rFonts w:hint="default"/>
          <w:lang w:val="en-US" w:eastAsia="zh-CN"/>
        </w:rPr>
        <w:t>管理水平</w:t>
      </w:r>
      <w:r>
        <w:rPr>
          <w:rFonts w:hint="default"/>
        </w:rPr>
        <w:t>，实现高质量发展目标。扎实做好双拥共建、拥军优属、国防动员、军民融合等双拥模范城创建工作。</w:t>
      </w:r>
    </w:p>
    <w:tbl>
      <w:tblPr>
        <w:tblStyle w:val="15"/>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0"/>
      </w:tblGrid>
      <w:tr w14:paraId="51B2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0" w:type="dxa"/>
            <w:noWrap w:val="0"/>
            <w:vAlign w:val="top"/>
          </w:tcPr>
          <w:p w14:paraId="120574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0"/>
                <w:kern w:val="2"/>
                <w:sz w:val="24"/>
                <w:szCs w:val="24"/>
                <w:vertAlign w:val="baseline"/>
                <w:lang w:val="en-US" w:eastAsia="zh-CN" w:bidi="ar-SA"/>
              </w:rPr>
            </w:pPr>
            <w:r>
              <w:rPr>
                <w:rFonts w:hint="default" w:ascii="Times New Roman" w:hAnsi="Times New Roman" w:eastAsia="黑体" w:cs="Times New Roman"/>
                <w:color w:val="auto"/>
                <w:spacing w:val="0"/>
                <w:kern w:val="2"/>
                <w:sz w:val="28"/>
                <w:szCs w:val="28"/>
                <w:vertAlign w:val="baseline"/>
                <w:lang w:val="en-US" w:eastAsia="zh-CN" w:bidi="ar-SA"/>
              </w:rPr>
              <w:t xml:space="preserve">专栏10-3  </w:t>
            </w:r>
            <w:r>
              <w:rPr>
                <w:rFonts w:hint="eastAsia" w:ascii="Times New Roman" w:hAnsi="Times New Roman" w:eastAsia="黑体" w:cs="Times New Roman"/>
                <w:color w:val="auto"/>
                <w:spacing w:val="0"/>
                <w:kern w:val="2"/>
                <w:sz w:val="28"/>
                <w:szCs w:val="28"/>
                <w:vertAlign w:val="baseline"/>
                <w:lang w:val="en-US" w:eastAsia="zh-CN" w:bidi="ar-SA"/>
              </w:rPr>
              <w:t>“</w:t>
            </w:r>
            <w:r>
              <w:rPr>
                <w:rFonts w:hint="default" w:ascii="Times New Roman" w:hAnsi="Times New Roman" w:eastAsia="黑体" w:cs="Times New Roman"/>
                <w:color w:val="auto"/>
                <w:spacing w:val="0"/>
                <w:kern w:val="2"/>
                <w:sz w:val="28"/>
                <w:szCs w:val="28"/>
                <w:vertAlign w:val="baseline"/>
                <w:lang w:val="en-US" w:eastAsia="zh-CN" w:bidi="ar-SA"/>
              </w:rPr>
              <w:t>法治汉台</w:t>
            </w:r>
            <w:r>
              <w:rPr>
                <w:rFonts w:hint="eastAsia" w:ascii="Times New Roman" w:hAnsi="Times New Roman" w:eastAsia="黑体" w:cs="Times New Roman"/>
                <w:color w:val="auto"/>
                <w:spacing w:val="0"/>
                <w:kern w:val="2"/>
                <w:sz w:val="28"/>
                <w:szCs w:val="28"/>
                <w:vertAlign w:val="baseline"/>
                <w:lang w:val="en-US" w:eastAsia="zh-CN" w:bidi="ar-SA"/>
              </w:rPr>
              <w:t>”</w:t>
            </w:r>
            <w:r>
              <w:rPr>
                <w:rFonts w:hint="default" w:ascii="Times New Roman" w:hAnsi="Times New Roman" w:eastAsia="黑体" w:cs="Times New Roman"/>
                <w:color w:val="auto"/>
                <w:spacing w:val="0"/>
                <w:kern w:val="2"/>
                <w:sz w:val="28"/>
                <w:szCs w:val="28"/>
                <w:vertAlign w:val="baseline"/>
                <w:lang w:val="en-US" w:eastAsia="zh-CN" w:bidi="ar-SA"/>
              </w:rPr>
              <w:t>建设工程</w:t>
            </w:r>
          </w:p>
        </w:tc>
      </w:tr>
      <w:tr w14:paraId="65C5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0" w:type="dxa"/>
            <w:noWrap w:val="0"/>
            <w:vAlign w:val="top"/>
          </w:tcPr>
          <w:p w14:paraId="6DDC3354">
            <w:pPr>
              <w:keepNext w:val="0"/>
              <w:keepLines w:val="0"/>
              <w:pageBreakBefore w:val="0"/>
              <w:widowControl w:val="0"/>
              <w:kinsoku/>
              <w:wordWrap/>
              <w:overflowPunct/>
              <w:topLinePunct w:val="0"/>
              <w:autoSpaceDE/>
              <w:autoSpaceDN/>
              <w:bidi w:val="0"/>
              <w:adjustRightInd w:val="0"/>
              <w:snapToGrid w:val="0"/>
              <w:spacing w:line="400" w:lineRule="exact"/>
              <w:textAlignment w:val="center"/>
              <w:rPr>
                <w:rFonts w:hint="default" w:ascii="Times New Roman" w:hAnsi="Times New Roman" w:eastAsia="宋体" w:cs="Times New Roman"/>
                <w:b/>
                <w:bCs/>
                <w:color w:val="auto"/>
                <w:spacing w:val="0"/>
                <w:kern w:val="2"/>
                <w:sz w:val="24"/>
                <w:szCs w:val="24"/>
                <w:vertAlign w:val="baseline"/>
                <w:lang w:val="en-US" w:eastAsia="zh-CN" w:bidi="ar-SA"/>
              </w:rPr>
            </w:pPr>
            <w:r>
              <w:rPr>
                <w:rFonts w:hint="default" w:ascii="Times New Roman" w:hAnsi="Times New Roman" w:cs="Times New Roman"/>
                <w:b w:val="0"/>
                <w:bCs w:val="0"/>
                <w:color w:val="auto"/>
                <w:spacing w:val="0"/>
                <w:kern w:val="2"/>
                <w:sz w:val="24"/>
                <w:szCs w:val="24"/>
                <w:vertAlign w:val="baseline"/>
                <w:lang w:val="en-US" w:eastAsia="zh-CN" w:bidi="ar-SA"/>
              </w:rPr>
              <w:t>重点建设汉台区AI智能审批平台、汉台区退役军人服务中心、汉台区拘留所、警犬训练基地、河东店派出所、人民法院审判法庭改扩建、人民检察院扩建、</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雪亮工程</w:t>
            </w:r>
            <w:r>
              <w:rPr>
                <w:rFonts w:hint="eastAsia" w:ascii="Times New Roman" w:hAnsi="Times New Roman" w:cs="Times New Roman"/>
                <w:b w:val="0"/>
                <w:bCs w:val="0"/>
                <w:color w:val="auto"/>
                <w:spacing w:val="0"/>
                <w:kern w:val="2"/>
                <w:sz w:val="24"/>
                <w:szCs w:val="24"/>
                <w:vertAlign w:val="baseline"/>
                <w:lang w:val="en-US" w:eastAsia="zh-CN" w:bidi="ar-SA"/>
              </w:rPr>
              <w:t>”</w:t>
            </w:r>
            <w:r>
              <w:rPr>
                <w:rFonts w:hint="default" w:ascii="Times New Roman" w:hAnsi="Times New Roman" w:cs="Times New Roman"/>
                <w:b w:val="0"/>
                <w:bCs w:val="0"/>
                <w:color w:val="auto"/>
                <w:spacing w:val="0"/>
                <w:kern w:val="2"/>
                <w:sz w:val="24"/>
                <w:szCs w:val="24"/>
                <w:vertAlign w:val="baseline"/>
                <w:lang w:val="en-US" w:eastAsia="zh-CN" w:bidi="ar-SA"/>
              </w:rPr>
              <w:t>等项目。</w:t>
            </w:r>
          </w:p>
        </w:tc>
      </w:tr>
    </w:tbl>
    <w:p w14:paraId="274E42E6">
      <w:pPr>
        <w:jc w:val="center"/>
        <w:rPr>
          <w:rFonts w:hint="eastAsia" w:ascii="黑体" w:hAnsi="黑体" w:eastAsia="黑体" w:cs="黑体"/>
          <w:lang w:val="en-US" w:eastAsia="zh-CN"/>
        </w:rPr>
      </w:pPr>
      <w:bookmarkStart w:id="324" w:name="_Toc20796"/>
      <w:bookmarkStart w:id="325" w:name="_Toc8924"/>
      <w:bookmarkStart w:id="326" w:name="_Toc13038"/>
      <w:r>
        <w:rPr>
          <w:rFonts w:hint="eastAsia" w:ascii="黑体" w:hAnsi="黑体" w:eastAsia="黑体" w:cs="黑体"/>
          <w:lang w:val="en-US" w:eastAsia="zh-CN"/>
        </w:rPr>
        <w:t>第五节  构建新时代社会治理新格局</w:t>
      </w:r>
      <w:bookmarkEnd w:id="324"/>
      <w:bookmarkEnd w:id="325"/>
      <w:bookmarkEnd w:id="326"/>
    </w:p>
    <w:p w14:paraId="7191B28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eastAsia" w:ascii="楷体_GB2312" w:hAnsi="楷体_GB2312" w:eastAsia="楷体_GB2312" w:cs="楷体_GB2312"/>
        </w:rPr>
        <w:t>提升城市治理水平。</w:t>
      </w:r>
      <w:r>
        <w:rPr>
          <w:rFonts w:hint="default"/>
        </w:rPr>
        <w:t>实施社会治理创新行动，深化街道体制改革，加强社区党组织、社区居委会对业委会和物业服务企业的指导和监督</w:t>
      </w:r>
      <w:r>
        <w:rPr>
          <w:rFonts w:hint="default"/>
          <w:lang w:eastAsia="zh-CN"/>
        </w:rPr>
        <w:t>，</w:t>
      </w:r>
      <w:r>
        <w:rPr>
          <w:rFonts w:hint="default"/>
          <w:lang w:val="en-US" w:eastAsia="zh-CN"/>
        </w:rPr>
        <w:t>稳步推进</w:t>
      </w:r>
      <w:r>
        <w:rPr>
          <w:rFonts w:hint="eastAsia"/>
          <w:lang w:val="en-US" w:eastAsia="zh-CN"/>
        </w:rPr>
        <w:t>“</w:t>
      </w:r>
      <w:r>
        <w:rPr>
          <w:rFonts w:hint="default"/>
          <w:lang w:val="en-US" w:eastAsia="zh-CN"/>
        </w:rPr>
        <w:t>撤村建居</w:t>
      </w:r>
      <w:r>
        <w:rPr>
          <w:rFonts w:hint="eastAsia"/>
          <w:lang w:val="en-US" w:eastAsia="zh-CN"/>
        </w:rPr>
        <w:t>”</w:t>
      </w:r>
      <w:r>
        <w:rPr>
          <w:rFonts w:hint="default"/>
          <w:lang w:val="en-US" w:eastAsia="zh-CN"/>
        </w:rPr>
        <w:t>工作，有序推进</w:t>
      </w:r>
      <w:r>
        <w:rPr>
          <w:rFonts w:hint="eastAsia"/>
          <w:lang w:val="en-US" w:eastAsia="zh-CN"/>
        </w:rPr>
        <w:t>“</w:t>
      </w:r>
      <w:r>
        <w:rPr>
          <w:rFonts w:hint="default"/>
          <w:lang w:val="en-US" w:eastAsia="zh-CN"/>
        </w:rPr>
        <w:t>一社一居</w:t>
      </w:r>
      <w:r>
        <w:rPr>
          <w:rFonts w:hint="eastAsia"/>
          <w:lang w:val="en-US" w:eastAsia="zh-CN"/>
        </w:rPr>
        <w:t>”</w:t>
      </w:r>
      <w:r>
        <w:rPr>
          <w:rFonts w:hint="default"/>
          <w:lang w:val="en-US" w:eastAsia="zh-CN"/>
        </w:rPr>
        <w:t>。健全党委领导、政府负责、群团助推、社会协同、公众参与的社会工作推进机制，加强社会组织党建工作，加强社会组织培育管理，壮大志愿服务力量，完善社区为平台、社工为支撑、社会组织为载体、志愿者为补充、慈善资源为辅助的</w:t>
      </w:r>
      <w:r>
        <w:rPr>
          <w:rFonts w:hint="eastAsia"/>
          <w:lang w:val="en-US" w:eastAsia="zh-CN"/>
        </w:rPr>
        <w:t>“</w:t>
      </w:r>
      <w:r>
        <w:rPr>
          <w:rFonts w:hint="default"/>
          <w:lang w:val="en-US" w:eastAsia="zh-CN"/>
        </w:rPr>
        <w:t>五社联动</w:t>
      </w:r>
      <w:r>
        <w:rPr>
          <w:rFonts w:hint="eastAsia"/>
          <w:lang w:val="en-US" w:eastAsia="zh-CN"/>
        </w:rPr>
        <w:t>”</w:t>
      </w:r>
      <w:r>
        <w:rPr>
          <w:rFonts w:hint="default"/>
          <w:lang w:val="en-US" w:eastAsia="zh-CN"/>
        </w:rPr>
        <w:t>机制。</w:t>
      </w:r>
      <w:r>
        <w:rPr>
          <w:rFonts w:hint="default"/>
        </w:rPr>
        <w:t>加强立体化、信息化社会治安防控体系建设，加强对城中村、</w:t>
      </w:r>
      <w:r>
        <w:rPr>
          <w:rFonts w:hint="default"/>
          <w:lang w:eastAsia="zh-CN"/>
        </w:rPr>
        <w:t>城乡接合部</w:t>
      </w:r>
      <w:r>
        <w:rPr>
          <w:rFonts w:hint="default"/>
        </w:rPr>
        <w:t>等重点地区和部位社会治安突出问题的排查整治。创新社会治安防控手段，提升</w:t>
      </w:r>
      <w:r>
        <w:rPr>
          <w:rFonts w:hint="default"/>
          <w:lang w:eastAsia="zh-CN"/>
        </w:rPr>
        <w:t>公共安全治理</w:t>
      </w:r>
      <w:r>
        <w:rPr>
          <w:rFonts w:hint="default"/>
        </w:rPr>
        <w:t>科学化、精细化、数字化、网络化、智能化水平。</w:t>
      </w:r>
    </w:p>
    <w:p w14:paraId="2776140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楷体_GB2312" w:hAnsi="楷体_GB2312" w:eastAsia="楷体_GB2312" w:cs="楷体_GB2312"/>
          <w:lang w:val="en-US" w:eastAsia="zh-CN"/>
        </w:rPr>
        <w:t>完善乡村治理体系。</w:t>
      </w:r>
      <w:r>
        <w:rPr>
          <w:rFonts w:hint="default"/>
          <w:lang w:val="en-US" w:eastAsia="zh-CN"/>
        </w:rPr>
        <w:t>完善村党组织领导乡村治理的体制机制。</w:t>
      </w:r>
      <w:r>
        <w:rPr>
          <w:rFonts w:hint="default"/>
        </w:rPr>
        <w:t>规范基层民主选举程序，</w:t>
      </w:r>
      <w:r>
        <w:rPr>
          <w:rFonts w:hint="default"/>
          <w:lang w:eastAsia="zh-CN"/>
        </w:rPr>
        <w:t>拓展群众参与基层治理的渠道。</w:t>
      </w:r>
      <w:r>
        <w:rPr>
          <w:rFonts w:hint="default"/>
        </w:rPr>
        <w:t>规范村（居）民议事会、红白理事会、道德评议会等群众组织的运行管理，拓展村（居）民自治有效实现形式。</w:t>
      </w:r>
      <w:r>
        <w:rPr>
          <w:rFonts w:hint="default"/>
          <w:lang w:val="en-US" w:eastAsia="zh-CN"/>
        </w:rPr>
        <w:t>在社区治理、基层公共事务和公益事业中广泛实行群众自我管理、自我服务、自我教育、自我监督，畅通和规划群众诉求表达、利益协调、权益保障通道。探索</w:t>
      </w:r>
      <w:r>
        <w:rPr>
          <w:rFonts w:hint="eastAsia"/>
          <w:lang w:val="en-US" w:eastAsia="zh-CN"/>
        </w:rPr>
        <w:t>“</w:t>
      </w:r>
      <w:r>
        <w:rPr>
          <w:rFonts w:hint="default"/>
          <w:lang w:val="en-US" w:eastAsia="zh-CN"/>
        </w:rPr>
        <w:t>德治为先、自治为基、法治为本</w:t>
      </w:r>
      <w:r>
        <w:rPr>
          <w:rFonts w:hint="eastAsia"/>
          <w:lang w:val="en-US" w:eastAsia="zh-CN"/>
        </w:rPr>
        <w:t>”</w:t>
      </w:r>
      <w:r>
        <w:rPr>
          <w:rFonts w:hint="default"/>
          <w:lang w:val="en-US" w:eastAsia="zh-CN"/>
        </w:rPr>
        <w:t>的基层社会治理体系，建设人人有责、人人尽责、人人享有的社会治理共同体。</w:t>
      </w:r>
    </w:p>
    <w:p w14:paraId="3661EEA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default" w:ascii="楷体_GB2312" w:hAnsi="楷体_GB2312" w:eastAsia="楷体_GB2312" w:cs="楷体_GB2312"/>
          <w:lang w:val="en-US" w:eastAsia="zh-CN"/>
        </w:rPr>
        <w:t>化解调处社会矛盾。</w:t>
      </w:r>
      <w:r>
        <w:rPr>
          <w:rFonts w:hint="default"/>
        </w:rPr>
        <w:t>坚持和发展</w:t>
      </w:r>
      <w:r>
        <w:rPr>
          <w:rFonts w:hint="default"/>
          <w:lang w:eastAsia="zh-CN"/>
        </w:rPr>
        <w:t>新时代</w:t>
      </w:r>
      <w:r>
        <w:rPr>
          <w:rFonts w:hint="eastAsia"/>
          <w:lang w:eastAsia="zh-CN"/>
        </w:rPr>
        <w:t>“</w:t>
      </w:r>
      <w:r>
        <w:rPr>
          <w:rFonts w:hint="default"/>
          <w:lang w:eastAsia="zh-CN"/>
        </w:rPr>
        <w:t>枫桥经验</w:t>
      </w:r>
      <w:r>
        <w:rPr>
          <w:rFonts w:hint="eastAsia"/>
          <w:lang w:eastAsia="zh-CN"/>
        </w:rPr>
        <w:t>”</w:t>
      </w:r>
      <w:r>
        <w:rPr>
          <w:rFonts w:hint="default"/>
        </w:rPr>
        <w:t>，健全社会矛盾纠纷多元化预防调处化解机制，持续深化群众说事、法官说法工作机制。深化信访制度改革，依法依规协调处理群众诉求。构建人民调解、行政调解、司法调解联动工作体系，推进基层司法所体制机制改革，加强司法所和人民调解组织建设。</w:t>
      </w:r>
    </w:p>
    <w:p w14:paraId="3E491F45">
      <w:pPr>
        <w:pStyle w:val="2"/>
        <w:ind w:left="0" w:leftChars="0" w:firstLine="0" w:firstLineChars="0"/>
        <w:rPr>
          <w:rFonts w:hint="eastAsia"/>
        </w:rPr>
      </w:pPr>
    </w:p>
    <w:p w14:paraId="0489E97D">
      <w:pPr>
        <w:pStyle w:val="2"/>
        <w:ind w:left="0" w:leftChars="0" w:firstLine="0" w:firstLineChars="0"/>
        <w:rPr>
          <w:rFonts w:hint="eastAsia"/>
        </w:rPr>
      </w:pPr>
    </w:p>
    <w:p w14:paraId="4E6975C1">
      <w:pPr>
        <w:pStyle w:val="2"/>
        <w:ind w:left="0" w:leftChars="0" w:firstLine="0" w:firstLineChars="0"/>
        <w:rPr>
          <w:rFonts w:hint="eastAsia"/>
        </w:rPr>
      </w:pPr>
    </w:p>
    <w:p w14:paraId="57D7BD51">
      <w:pPr>
        <w:pStyle w:val="2"/>
        <w:ind w:left="0" w:leftChars="0" w:firstLine="0" w:firstLineChars="0"/>
        <w:rPr>
          <w:rFonts w:hint="eastAsia"/>
        </w:rPr>
      </w:pPr>
    </w:p>
    <w:p w14:paraId="203B1815">
      <w:pPr>
        <w:pStyle w:val="2"/>
        <w:ind w:left="0" w:leftChars="0" w:firstLine="0" w:firstLineChars="0"/>
        <w:rPr>
          <w:rFonts w:hint="eastAsia"/>
        </w:rPr>
      </w:pPr>
    </w:p>
    <w:p w14:paraId="449C0477">
      <w:pPr>
        <w:pStyle w:val="2"/>
        <w:ind w:left="0" w:leftChars="0" w:firstLine="0" w:firstLineChars="0"/>
        <w:rPr>
          <w:rFonts w:hint="eastAsia"/>
        </w:rPr>
      </w:pPr>
    </w:p>
    <w:p w14:paraId="3C73A188">
      <w:pPr>
        <w:pStyle w:val="2"/>
        <w:ind w:left="0" w:leftChars="0" w:firstLine="0" w:firstLineChars="0"/>
        <w:rPr>
          <w:rFonts w:hint="eastAsia"/>
        </w:rPr>
      </w:pPr>
    </w:p>
    <w:p w14:paraId="429C91C1">
      <w:pPr>
        <w:pStyle w:val="2"/>
        <w:ind w:left="0" w:leftChars="0" w:firstLine="0" w:firstLineChars="0"/>
        <w:rPr>
          <w:rFonts w:hint="eastAsia"/>
        </w:rPr>
      </w:pPr>
    </w:p>
    <w:p w14:paraId="2488CAA1">
      <w:pPr>
        <w:pStyle w:val="2"/>
        <w:ind w:left="0" w:leftChars="0" w:firstLine="0" w:firstLineChars="0"/>
        <w:rPr>
          <w:rFonts w:hint="eastAsia"/>
        </w:rPr>
      </w:pPr>
    </w:p>
    <w:p w14:paraId="495FF12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bookmarkStart w:id="327" w:name="_Toc11418"/>
      <w:bookmarkStart w:id="328" w:name="_Toc1097"/>
      <w:bookmarkStart w:id="329" w:name="_Toc15688"/>
      <w:r>
        <w:rPr>
          <w:rFonts w:hint="eastAsia" w:ascii="方正小标宋简体" w:hAnsi="方正小标宋简体" w:eastAsia="方正小标宋简体" w:cs="方正小标宋简体"/>
          <w:sz w:val="44"/>
          <w:szCs w:val="44"/>
          <w:lang w:val="en-US" w:eastAsia="zh-CN"/>
        </w:rPr>
        <w:t>第十一章  加强党的全面领导，凝聚汉台</w:t>
      </w:r>
    </w:p>
    <w:p w14:paraId="6723D0B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奋斗中国式现代化建设磅礴力量</w:t>
      </w:r>
      <w:bookmarkEnd w:id="327"/>
      <w:bookmarkEnd w:id="328"/>
      <w:bookmarkEnd w:id="329"/>
    </w:p>
    <w:p w14:paraId="4D8D3B1A">
      <w:pPr>
        <w:rPr>
          <w:rFonts w:hint="default"/>
          <w:lang w:val="en-US" w:eastAsia="zh-CN"/>
        </w:rPr>
      </w:pPr>
    </w:p>
    <w:p w14:paraId="525E0149">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坚持和加强党的全面领导是推进中国式现代化的根本保证。坚持以党的自我革命引领社会革命，持之以恒推进全面从严治党，增强党的政治领导力、思想引领力、群众组织力、社会号召力，提高党领导经济社会发展能力和水平，为奋力开创中国式现代化汉台新格局凝聚磅礴力量。</w:t>
      </w:r>
    </w:p>
    <w:p w14:paraId="42EB525E">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lang w:val="en-US" w:eastAsia="zh-CN"/>
        </w:rPr>
      </w:pPr>
      <w:bookmarkStart w:id="330" w:name="_Toc8538"/>
      <w:bookmarkStart w:id="331" w:name="_Toc28072"/>
      <w:bookmarkStart w:id="332" w:name="_Toc32052"/>
      <w:r>
        <w:rPr>
          <w:rFonts w:hint="eastAsia" w:ascii="黑体" w:hAnsi="黑体" w:eastAsia="黑体" w:cs="黑体"/>
          <w:lang w:val="en-US" w:eastAsia="zh-CN"/>
        </w:rPr>
        <w:t>第一节  坚持和加强党的全面领导</w:t>
      </w:r>
      <w:bookmarkEnd w:id="330"/>
      <w:bookmarkEnd w:id="331"/>
      <w:bookmarkEnd w:id="332"/>
    </w:p>
    <w:p w14:paraId="3DA302B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bookmarkStart w:id="333" w:name="_Toc3266"/>
      <w:r>
        <w:rPr>
          <w:rFonts w:hint="default"/>
          <w:lang w:val="en-US" w:eastAsia="zh-CN"/>
        </w:rPr>
        <w:t>严格落实新时代党的建设总要求，以党的政治建设为统领，扎实推进党的各项建设。持续用党的创新理论统一思想、统一意志、统一行动。发展党内民主，健全和落实民主集中制，坚持科学决策、民主决策、依法决策。深刻领悟</w:t>
      </w:r>
      <w:r>
        <w:rPr>
          <w:rFonts w:hint="eastAsia"/>
          <w:lang w:val="en-US" w:eastAsia="zh-CN"/>
        </w:rPr>
        <w:t>“</w:t>
      </w:r>
      <w:r>
        <w:rPr>
          <w:rFonts w:hint="default"/>
          <w:lang w:val="en-US" w:eastAsia="zh-CN"/>
        </w:rPr>
        <w:t>两个确立</w:t>
      </w:r>
      <w:r>
        <w:rPr>
          <w:rFonts w:hint="eastAsia"/>
          <w:lang w:val="en-US" w:eastAsia="zh-CN"/>
        </w:rPr>
        <w:t>”</w:t>
      </w:r>
      <w:r>
        <w:rPr>
          <w:rFonts w:hint="default"/>
          <w:lang w:val="en-US" w:eastAsia="zh-CN"/>
        </w:rPr>
        <w:t>的决定性意义、坚决做到</w:t>
      </w:r>
      <w:r>
        <w:rPr>
          <w:rFonts w:hint="eastAsia"/>
          <w:lang w:val="en-US" w:eastAsia="zh-CN"/>
        </w:rPr>
        <w:t>“</w:t>
      </w:r>
      <w:r>
        <w:rPr>
          <w:rFonts w:hint="default"/>
          <w:lang w:val="en-US" w:eastAsia="zh-CN"/>
        </w:rPr>
        <w:t>两个维护</w:t>
      </w:r>
      <w:r>
        <w:rPr>
          <w:rFonts w:hint="eastAsia"/>
          <w:lang w:val="en-US" w:eastAsia="zh-CN"/>
        </w:rPr>
        <w:t>”</w:t>
      </w:r>
      <w:r>
        <w:rPr>
          <w:rFonts w:hint="default"/>
          <w:lang w:val="en-US" w:eastAsia="zh-CN"/>
        </w:rPr>
        <w:t>，把习近平总书记历次来陕考察重要讲话重要指示精神、党中央和省市决策部署落实到推动全区</w:t>
      </w:r>
      <w:r>
        <w:rPr>
          <w:rFonts w:hint="eastAsia"/>
          <w:lang w:val="en-US" w:eastAsia="zh-CN"/>
        </w:rPr>
        <w:t>“</w:t>
      </w:r>
      <w:r>
        <w:rPr>
          <w:rFonts w:hint="default"/>
          <w:lang w:val="en-US" w:eastAsia="zh-CN"/>
        </w:rPr>
        <w:t>十五五</w:t>
      </w:r>
      <w:r>
        <w:rPr>
          <w:rFonts w:hint="eastAsia"/>
          <w:lang w:val="en-US" w:eastAsia="zh-CN"/>
        </w:rPr>
        <w:t>”</w:t>
      </w:r>
      <w:r>
        <w:rPr>
          <w:rFonts w:hint="default"/>
          <w:lang w:val="en-US" w:eastAsia="zh-CN"/>
        </w:rPr>
        <w:t>时期经济社会发展上来。旗帜鲜明讲政治，完善党委研究全区经济社会发展战略、定期分析经济形势、研究重大方针政策的工作机制，健全决策咨询机制，提高决策科学化水平，为实现</w:t>
      </w:r>
      <w:r>
        <w:rPr>
          <w:rFonts w:hint="eastAsia"/>
          <w:lang w:val="en-US" w:eastAsia="zh-CN"/>
        </w:rPr>
        <w:t>“</w:t>
      </w:r>
      <w:r>
        <w:rPr>
          <w:rFonts w:hint="default"/>
          <w:lang w:val="en-US" w:eastAsia="zh-CN"/>
        </w:rPr>
        <w:t>十五五</w:t>
      </w:r>
      <w:r>
        <w:rPr>
          <w:rFonts w:hint="eastAsia"/>
          <w:lang w:val="en-US" w:eastAsia="zh-CN"/>
        </w:rPr>
        <w:t>”</w:t>
      </w:r>
      <w:r>
        <w:rPr>
          <w:rFonts w:hint="default"/>
          <w:lang w:val="en-US" w:eastAsia="zh-CN"/>
        </w:rPr>
        <w:t>时期经济社会发展目标提供坚强政治保障。</w:t>
      </w:r>
    </w:p>
    <w:p w14:paraId="49057D0D">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cs="黑体"/>
          <w:lang w:val="en-US" w:eastAsia="zh-CN"/>
        </w:rPr>
      </w:pPr>
      <w:bookmarkStart w:id="334" w:name="_Toc30712"/>
      <w:bookmarkStart w:id="335" w:name="_Toc31341"/>
      <w:bookmarkStart w:id="336" w:name="_Toc5718"/>
      <w:r>
        <w:rPr>
          <w:rFonts w:hint="default" w:ascii="黑体" w:hAnsi="黑体" w:eastAsia="黑体" w:cs="黑体"/>
          <w:lang w:val="en-US" w:eastAsia="zh-CN"/>
        </w:rPr>
        <w:t>第二节  全面加强干部队伍建设</w:t>
      </w:r>
      <w:bookmarkEnd w:id="334"/>
      <w:bookmarkEnd w:id="335"/>
      <w:bookmarkEnd w:id="336"/>
    </w:p>
    <w:p w14:paraId="17EA56D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坚持正确用人导向，始终把政治标准放在首位，全面贯彻新时代党的组织路线，树立和践行正确政绩观，</w:t>
      </w:r>
      <w:r>
        <w:rPr>
          <w:rFonts w:hint="default"/>
          <w:rtl w:val="0"/>
          <w:lang w:val="en-US" w:eastAsia="zh-CN"/>
        </w:rPr>
        <w:t>深入推进青年干部</w:t>
      </w:r>
      <w:r>
        <w:rPr>
          <w:rFonts w:hint="eastAsia"/>
          <w:rtl w:val="0"/>
          <w:lang w:val="en-US" w:eastAsia="zh-CN"/>
        </w:rPr>
        <w:t>“</w:t>
      </w:r>
      <w:r>
        <w:rPr>
          <w:rFonts w:hint="default"/>
          <w:rtl w:val="0"/>
          <w:lang w:val="en-US" w:eastAsia="zh-CN"/>
        </w:rPr>
        <w:t>火种计划</w:t>
      </w:r>
      <w:r>
        <w:rPr>
          <w:rFonts w:hint="eastAsia"/>
          <w:rtl w:val="0"/>
          <w:lang w:val="en-US" w:eastAsia="zh-CN"/>
        </w:rPr>
        <w:t>”</w:t>
      </w:r>
      <w:r>
        <w:rPr>
          <w:rFonts w:hint="default"/>
          <w:rtl w:val="0"/>
          <w:lang w:val="en-US" w:eastAsia="zh-CN"/>
        </w:rPr>
        <w:t>，</w:t>
      </w:r>
      <w:r>
        <w:rPr>
          <w:rFonts w:hint="default"/>
          <w:lang w:val="en-US" w:eastAsia="zh-CN"/>
        </w:rPr>
        <w:t>完善干部考核评价机制，选优配强各级领导班子，调整不胜任现职干部，推进领导干部能上能下常态化。强化教育培训和实践锻炼，进一步提高各级领导干部适应新时代新要求、抓改革促发展保稳定的水平和专业化能力，提高干部队伍现代化建设本领。切实推动全面从严治党向纵深发展，严管厚爱结合、激励约束并重，加强对敢担当、善作为干部的激励保护，激发干部队伍内生动力和整体活力。统筹推进各领域基层党组织建设，增强党组织政治功能和组织功能，发挥党员先锋模范作用。</w:t>
      </w:r>
    </w:p>
    <w:p w14:paraId="5629D106">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cs="黑体"/>
          <w:lang w:val="en-US" w:eastAsia="zh-CN"/>
        </w:rPr>
      </w:pPr>
      <w:bookmarkStart w:id="337" w:name="_Toc10635"/>
      <w:bookmarkStart w:id="338" w:name="_Toc25150"/>
      <w:bookmarkStart w:id="339" w:name="_Toc12354"/>
      <w:r>
        <w:rPr>
          <w:rFonts w:hint="default" w:ascii="黑体" w:hAnsi="黑体" w:eastAsia="黑体" w:cs="黑体"/>
          <w:lang w:val="en-US" w:eastAsia="zh-CN"/>
        </w:rPr>
        <w:t>第三节  推动作风建设常态化长效化</w:t>
      </w:r>
      <w:bookmarkEnd w:id="337"/>
      <w:bookmarkEnd w:id="338"/>
      <w:bookmarkEnd w:id="339"/>
    </w:p>
    <w:p w14:paraId="310594BD">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锲而不舍落实中央八项规定精神，始终坚持零容忍，把中央八项规定作为铁规矩、硬杠杠，严肃查处顶风违纪、隐形变异的</w:t>
      </w:r>
      <w:r>
        <w:rPr>
          <w:rFonts w:hint="eastAsia"/>
          <w:lang w:val="en-US" w:eastAsia="zh-CN"/>
        </w:rPr>
        <w:t>“</w:t>
      </w:r>
      <w:r>
        <w:rPr>
          <w:rFonts w:hint="default"/>
          <w:lang w:val="en-US" w:eastAsia="zh-CN"/>
        </w:rPr>
        <w:t>四风</w:t>
      </w:r>
      <w:r>
        <w:rPr>
          <w:rFonts w:hint="eastAsia"/>
          <w:lang w:val="en-US" w:eastAsia="zh-CN"/>
        </w:rPr>
        <w:t>”</w:t>
      </w:r>
      <w:r>
        <w:rPr>
          <w:rFonts w:hint="default"/>
          <w:lang w:val="en-US" w:eastAsia="zh-CN"/>
        </w:rPr>
        <w:t>问题，重点纠治形式主义、官僚主义，巩固拓展享乐主义、奢靡之风治理成果，把弘扬新风正气摆在更加突出位置，纠树并举，推进作风建设常态化长效化。全方位推进新时代廉洁文化建设，引导党员干部廉洁从政、廉洁用权、廉洁修身、廉洁齐家。深入开展整治形式主义为基层减负工作。完善党委和政府监督体系，加强对权力配置、运行的规范和监督。保持反腐败永远在路上的清醒坚定，一体推进不敢腐、不能腐、不想腐，坚决打好反腐败斗争攻坚战、持久战、总体战。营造风清气正政治生态。</w:t>
      </w:r>
    </w:p>
    <w:p w14:paraId="56DFCC05">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cs="黑体"/>
          <w:lang w:val="en-US" w:eastAsia="zh-CN"/>
        </w:rPr>
      </w:pPr>
      <w:bookmarkStart w:id="340" w:name="_Toc5619"/>
      <w:r>
        <w:rPr>
          <w:rFonts w:hint="default" w:ascii="黑体" w:hAnsi="黑体" w:eastAsia="黑体" w:cs="黑体"/>
          <w:lang w:val="en-US" w:eastAsia="zh-CN"/>
        </w:rPr>
        <w:t>第四节  推动社会主义民主法治建设</w:t>
      </w:r>
      <w:bookmarkEnd w:id="340"/>
    </w:p>
    <w:p w14:paraId="63F0556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坚持党的领导、人民当家作主、依法治区有机统一，发展全过程人民民主。坚持好、完善好、运行好人民代表大会制度，支持人大及其常委会依法行使职权，加强人大对</w:t>
      </w:r>
      <w:r>
        <w:rPr>
          <w:rFonts w:hint="eastAsia"/>
          <w:lang w:val="en-US" w:eastAsia="zh-CN"/>
        </w:rPr>
        <w:t>“</w:t>
      </w:r>
      <w:r>
        <w:rPr>
          <w:rFonts w:hint="default"/>
          <w:lang w:val="en-US" w:eastAsia="zh-CN"/>
        </w:rPr>
        <w:t>一府一委两院</w:t>
      </w:r>
      <w:r>
        <w:rPr>
          <w:rFonts w:hint="eastAsia"/>
          <w:lang w:val="en-US" w:eastAsia="zh-CN"/>
        </w:rPr>
        <w:t>”</w:t>
      </w:r>
      <w:r>
        <w:rPr>
          <w:rFonts w:hint="default"/>
          <w:lang w:val="en-US" w:eastAsia="zh-CN"/>
        </w:rPr>
        <w:t>的监督。加强人民政协专门协商机构建设，充分发挥</w:t>
      </w:r>
      <w:r>
        <w:rPr>
          <w:rFonts w:hint="eastAsia"/>
          <w:lang w:val="en-US" w:eastAsia="zh-CN"/>
        </w:rPr>
        <w:t>“</w:t>
      </w:r>
      <w:r>
        <w:rPr>
          <w:rFonts w:hint="default"/>
          <w:lang w:val="en-US" w:eastAsia="zh-CN"/>
        </w:rPr>
        <w:t>秦商量</w:t>
      </w:r>
      <w:r>
        <w:rPr>
          <w:rFonts w:hint="eastAsia"/>
          <w:lang w:val="en-US" w:eastAsia="zh-CN"/>
        </w:rPr>
        <w:t>”</w:t>
      </w:r>
      <w:r>
        <w:rPr>
          <w:rFonts w:hint="default"/>
          <w:lang w:val="en-US" w:eastAsia="zh-CN"/>
        </w:rPr>
        <w:t>协商议政平台作用，推进协商民主广泛多层制度化发展。健全基层民主制度，规范社区民主议事和民主决策机制。健全吸纳民意、汇集民智工作机制。加快建设更高水平的法治汉台，强化法治政府、法治社会建设，加强领导干部依法办事监督检查。推进政法工作数字化平台建设，提高司法裁判公正性、稳定性、权威性，强化检察监督，有效解决</w:t>
      </w:r>
      <w:r>
        <w:rPr>
          <w:rFonts w:hint="eastAsia"/>
          <w:lang w:val="en-US" w:eastAsia="zh-CN"/>
        </w:rPr>
        <w:t>“</w:t>
      </w:r>
      <w:r>
        <w:rPr>
          <w:rFonts w:hint="default"/>
          <w:lang w:val="en-US" w:eastAsia="zh-CN"/>
        </w:rPr>
        <w:t>执行难</w:t>
      </w:r>
      <w:r>
        <w:rPr>
          <w:rFonts w:hint="eastAsia"/>
          <w:lang w:val="en-US" w:eastAsia="zh-CN"/>
        </w:rPr>
        <w:t>”</w:t>
      </w:r>
      <w:r>
        <w:rPr>
          <w:rFonts w:hint="default"/>
          <w:lang w:val="en-US" w:eastAsia="zh-CN"/>
        </w:rPr>
        <w:t>问题。</w:t>
      </w:r>
    </w:p>
    <w:p w14:paraId="439C941F">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cs="黑体"/>
          <w:lang w:val="en-US" w:eastAsia="zh-CN"/>
        </w:rPr>
      </w:pPr>
      <w:bookmarkStart w:id="341" w:name="_Toc24641"/>
      <w:r>
        <w:rPr>
          <w:rFonts w:hint="default" w:ascii="黑体" w:hAnsi="黑体" w:eastAsia="黑体" w:cs="黑体"/>
          <w:lang w:val="en-US" w:eastAsia="zh-CN"/>
        </w:rPr>
        <w:t>第五节  广泛凝聚各方面智慧力量</w:t>
      </w:r>
      <w:bookmarkEnd w:id="341"/>
    </w:p>
    <w:p w14:paraId="475C0151">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充分发挥区委总揽全局、统筹协调作用。更好地发挥工会、共青团、妇联等群团组织以及民主党派、工商联和无党派人士作用，把各自联系的群众紧紧凝聚在党的周围。加强产业工人队伍建设、青少年发展、妇女儿童事业发展政策保障。完善大统战工作格局，巩固和发展最广泛的爱国统一战线。加强和改进侨务工作。贯彻尊重劳动、尊重知识、尊重人才、尊重创造的方针，激发全社会干事创业、创新创造活力，形成人尽其才、才尽其用、万众一心、勠力进取的生动局面。</w:t>
      </w:r>
    </w:p>
    <w:bookmarkEnd w:id="333"/>
    <w:p w14:paraId="44E6C0EB">
      <w:pPr>
        <w:rPr>
          <w:rFonts w:hint="default"/>
          <w:lang w:val="en-US" w:eastAsia="zh-CN"/>
        </w:rPr>
      </w:pPr>
      <w:bookmarkStart w:id="342" w:name="_Toc7268"/>
      <w:bookmarkStart w:id="343" w:name="_Toc4794"/>
      <w:bookmarkStart w:id="344" w:name="_Toc25915"/>
    </w:p>
    <w:p w14:paraId="2F754E60">
      <w:pPr>
        <w:rPr>
          <w:rFonts w:hint="default"/>
          <w:lang w:val="en-US" w:eastAsia="zh-CN"/>
        </w:rPr>
      </w:pPr>
    </w:p>
    <w:p w14:paraId="0E43C8BA">
      <w:pPr>
        <w:rPr>
          <w:rFonts w:hint="default"/>
          <w:lang w:val="en-US" w:eastAsia="zh-CN"/>
        </w:rPr>
      </w:pPr>
    </w:p>
    <w:p w14:paraId="1274EB01">
      <w:pPr>
        <w:rPr>
          <w:rFonts w:hint="default"/>
          <w:lang w:val="en-US" w:eastAsia="zh-CN"/>
        </w:rPr>
      </w:pPr>
    </w:p>
    <w:p w14:paraId="44523C1B">
      <w:pPr>
        <w:rPr>
          <w:rFonts w:hint="default"/>
          <w:lang w:val="en-US" w:eastAsia="zh-CN"/>
        </w:rPr>
      </w:pPr>
    </w:p>
    <w:p w14:paraId="29AD975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第十二章  强化多元保障，</w:t>
      </w:r>
    </w:p>
    <w:p w14:paraId="41F77F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推动规划目标任务实施</w:t>
      </w:r>
      <w:bookmarkEnd w:id="342"/>
      <w:bookmarkEnd w:id="343"/>
      <w:bookmarkEnd w:id="344"/>
    </w:p>
    <w:p w14:paraId="3FF22FC7">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cs="黑体"/>
          <w:lang w:val="en-US" w:eastAsia="zh-CN"/>
        </w:rPr>
      </w:pPr>
      <w:bookmarkStart w:id="345" w:name="_Toc8824"/>
      <w:bookmarkStart w:id="346" w:name="_Toc12103"/>
      <w:bookmarkStart w:id="347" w:name="_Toc1495"/>
    </w:p>
    <w:p w14:paraId="7822D17C">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cs="黑体"/>
          <w:lang w:val="en-US" w:eastAsia="zh-CN"/>
        </w:rPr>
      </w:pPr>
      <w:r>
        <w:rPr>
          <w:rFonts w:hint="default" w:ascii="黑体" w:hAnsi="黑体" w:eastAsia="黑体" w:cs="黑体"/>
          <w:lang w:val="en-US" w:eastAsia="zh-CN"/>
        </w:rPr>
        <w:t>第一节  健全规划实施体系</w:t>
      </w:r>
      <w:bookmarkEnd w:id="345"/>
      <w:bookmarkEnd w:id="346"/>
      <w:bookmarkEnd w:id="347"/>
    </w:p>
    <w:p w14:paraId="2378FFF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default"/>
          <w:lang w:val="en-US" w:eastAsia="zh-CN"/>
        </w:rPr>
        <w:t>形成统一规划体系。</w:t>
      </w:r>
      <w:r>
        <w:rPr>
          <w:rFonts w:hint="default"/>
        </w:rPr>
        <w:t>加强对规划的统筹管理和衔接协调，组织编制专项规划，细化落实本规划纲要提出的主要目标任务，统筹各级各类规划编制，精简数量、提高质量，根据本地实际建立完善全口径规划编制目录清单，避免交叉重复、增加基层负担。加强发展规划与国土空间规划的有机衔接，强化发展规划的统领作用和国土空间规划的基础作用，保障本规划纲要和专项规划提出的重大项目落地实施。</w:t>
      </w:r>
    </w:p>
    <w:p w14:paraId="0DF3CFE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de-DE" w:eastAsia="de-DE"/>
        </w:rPr>
      </w:pPr>
      <w:r>
        <w:rPr>
          <w:rFonts w:hint="default"/>
          <w:lang w:val="en-US" w:eastAsia="zh-CN"/>
        </w:rPr>
        <w:t>完善规划实施机制。</w:t>
      </w:r>
      <w:r>
        <w:rPr>
          <w:rFonts w:hint="default"/>
          <w:lang w:val="de-DE" w:eastAsia="de-DE"/>
        </w:rPr>
        <w:t>成立</w:t>
      </w:r>
      <w:r>
        <w:rPr>
          <w:rFonts w:hint="default"/>
          <w:lang w:val="en-US" w:eastAsia="zh-CN"/>
        </w:rPr>
        <w:t>汉台区</w:t>
      </w:r>
      <w:r>
        <w:rPr>
          <w:rFonts w:hint="eastAsia"/>
          <w:lang w:val="de-DE" w:eastAsia="zh-CN"/>
        </w:rPr>
        <w:t>“</w:t>
      </w:r>
      <w:r>
        <w:rPr>
          <w:rFonts w:hint="default"/>
          <w:lang w:val="en-US" w:eastAsia="zh-CN"/>
        </w:rPr>
        <w:t>十五五</w:t>
      </w:r>
      <w:r>
        <w:rPr>
          <w:rFonts w:hint="eastAsia"/>
          <w:lang w:val="de-DE" w:eastAsia="zh-CN"/>
        </w:rPr>
        <w:t>”</w:t>
      </w:r>
      <w:r>
        <w:rPr>
          <w:rFonts w:hint="default"/>
          <w:lang w:val="de-DE" w:eastAsia="de-DE"/>
        </w:rPr>
        <w:t>规划实施</w:t>
      </w:r>
      <w:r>
        <w:rPr>
          <w:rFonts w:hint="default"/>
          <w:lang w:val="de-DE" w:eastAsia="zh-CN"/>
        </w:rPr>
        <w:t>领导小组</w:t>
      </w:r>
      <w:r>
        <w:rPr>
          <w:rFonts w:hint="default"/>
          <w:lang w:val="de-DE" w:eastAsia="de-DE"/>
        </w:rPr>
        <w:t>，</w:t>
      </w:r>
      <w:r>
        <w:rPr>
          <w:rFonts w:hint="default"/>
          <w:lang w:val="de-DE"/>
        </w:rPr>
        <w:t>办公室设在发改局，</w:t>
      </w:r>
      <w:r>
        <w:rPr>
          <w:rFonts w:hint="default"/>
          <w:lang w:val="de-DE" w:eastAsia="de-DE"/>
        </w:rPr>
        <w:t>统筹负责</w:t>
      </w:r>
      <w:r>
        <w:rPr>
          <w:rFonts w:hint="eastAsia"/>
          <w:lang w:val="de-DE" w:eastAsia="zh-CN"/>
        </w:rPr>
        <w:t>“</w:t>
      </w:r>
      <w:r>
        <w:rPr>
          <w:rFonts w:hint="default"/>
          <w:lang w:val="en-US" w:eastAsia="zh-CN"/>
        </w:rPr>
        <w:t>十五</w:t>
      </w:r>
      <w:r>
        <w:rPr>
          <w:rFonts w:hint="default"/>
          <w:lang w:val="de-DE" w:eastAsia="de-DE"/>
        </w:rPr>
        <w:t>五</w:t>
      </w:r>
      <w:r>
        <w:rPr>
          <w:rFonts w:hint="eastAsia"/>
          <w:lang w:val="de-DE" w:eastAsia="zh-CN"/>
        </w:rPr>
        <w:t>”</w:t>
      </w:r>
      <w:r>
        <w:rPr>
          <w:rFonts w:hint="default"/>
          <w:lang w:val="de-DE" w:eastAsia="de-DE"/>
        </w:rPr>
        <w:t>规划的组织实施。</w:t>
      </w:r>
      <w:r>
        <w:rPr>
          <w:rFonts w:hint="default"/>
        </w:rPr>
        <w:t>加快规划目标任务分工，明确责任主体，细化工作措施，建立清单台账，夯实工作责任。健全以发展规划为战略导向，财政作保障、金融为支撑，就业、产业、投资、消费、环保等政策紧密配合的政策协调和工作协调机制，积极引导各类资源按照规划确定的方向高效配置。</w:t>
      </w:r>
      <w:r>
        <w:rPr>
          <w:rFonts w:hint="default"/>
          <w:lang w:val="de-DE" w:eastAsia="de-DE"/>
        </w:rPr>
        <w:t>各部门成立相应的工作机构，</w:t>
      </w:r>
      <w:r>
        <w:rPr>
          <w:rFonts w:hint="default"/>
          <w:lang w:val="de-DE"/>
        </w:rPr>
        <w:t>分</w:t>
      </w:r>
      <w:r>
        <w:rPr>
          <w:rFonts w:hint="default"/>
          <w:lang w:val="de-DE" w:eastAsia="de-DE"/>
        </w:rPr>
        <w:t>年度，分领域、分阶段落实规划提出的目标和任务，保障规划有效实施。</w:t>
      </w:r>
    </w:p>
    <w:p w14:paraId="1262572B">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cs="黑体"/>
          <w:lang w:val="en-US" w:eastAsia="zh-CN"/>
        </w:rPr>
      </w:pPr>
      <w:bookmarkStart w:id="348" w:name="_Toc19161"/>
      <w:bookmarkStart w:id="349" w:name="_Toc723"/>
      <w:bookmarkStart w:id="350" w:name="_Toc14020"/>
      <w:bookmarkStart w:id="351" w:name="_Toc5989"/>
      <w:r>
        <w:rPr>
          <w:rFonts w:hint="default" w:ascii="黑体" w:hAnsi="黑体" w:eastAsia="黑体" w:cs="黑体"/>
          <w:lang w:val="en-US" w:eastAsia="zh-CN"/>
        </w:rPr>
        <w:t>第二节  强化要素保障支撑</w:t>
      </w:r>
      <w:bookmarkEnd w:id="348"/>
      <w:bookmarkEnd w:id="349"/>
      <w:bookmarkEnd w:id="350"/>
      <w:bookmarkEnd w:id="351"/>
    </w:p>
    <w:p w14:paraId="359EB131">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Pr>
      </w:pPr>
      <w:r>
        <w:rPr>
          <w:rFonts w:hint="default"/>
        </w:rPr>
        <w:t>优化提升区级融资平台，加大产业、科技、环保、</w:t>
      </w:r>
      <w:r>
        <w:rPr>
          <w:rFonts w:hint="default"/>
          <w:lang w:val="en-US" w:eastAsia="zh-CN"/>
        </w:rPr>
        <w:t>城市更新</w:t>
      </w:r>
      <w:r>
        <w:rPr>
          <w:rFonts w:hint="default"/>
        </w:rPr>
        <w:t>等领域资金整合力度，充分发挥财政资金对经济发展引导支持作用。优化财政支出结构和政府投资结构，重点投向民生和社会事业、乡村振兴、科技创新、生态环保等领域。加强信贷资金与建设项目对接，拓宽融资渠道，积极争取政策性金融机构的融资支持。鼓励和引导民间资本参与市政基础设施、公用事业、社会事业和金融服务等领域。严格执行土地用途管制制度，统筹安排各类用地，对重点建设项目用地给予重点保障。做好土地出让后续监管，增强土地出让、转让后开发利用监管力度。</w:t>
      </w:r>
    </w:p>
    <w:p w14:paraId="7276F233">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cs="黑体"/>
          <w:lang w:val="en-US" w:eastAsia="zh-CN"/>
        </w:rPr>
      </w:pPr>
      <w:bookmarkStart w:id="352" w:name="_Toc22696"/>
      <w:bookmarkStart w:id="353" w:name="_Toc21120"/>
      <w:bookmarkStart w:id="354" w:name="_Toc20154"/>
      <w:r>
        <w:rPr>
          <w:rFonts w:hint="default" w:ascii="黑体" w:hAnsi="黑体" w:eastAsia="黑体" w:cs="黑体"/>
          <w:lang w:val="en-US" w:eastAsia="zh-CN"/>
        </w:rPr>
        <w:t>第三节  建立健全考核监督体系</w:t>
      </w:r>
      <w:bookmarkEnd w:id="352"/>
      <w:bookmarkEnd w:id="353"/>
      <w:bookmarkEnd w:id="354"/>
    </w:p>
    <w:p w14:paraId="10932783">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健全政策协调和工作协同机制，建立健全规划实施监测和评估机制，科学设置推动高质量发展的指标体系、政策体系、统计体系、绩效评价和考核体系，保障规划有序有效、高效实施。加强对规划实施情况的跟踪分析，尤其要对约束性指标和主要预期性指标进行重点评估，对重点领域的突出问题适时开展专项评估。完善规划中期评估、终期评估制度，引入第三方评估机制。</w:t>
      </w:r>
    </w:p>
    <w:p w14:paraId="5485440A">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lang w:val="en-US" w:eastAsia="zh-CN"/>
        </w:rPr>
        <w:t>健全完善规划监督体系，把监督融入</w:t>
      </w:r>
      <w:r>
        <w:rPr>
          <w:rFonts w:hint="eastAsia"/>
          <w:lang w:val="en-US" w:eastAsia="zh-CN"/>
        </w:rPr>
        <w:t>“</w:t>
      </w:r>
      <w:r>
        <w:rPr>
          <w:rFonts w:hint="default"/>
          <w:lang w:val="en-US" w:eastAsia="zh-CN"/>
        </w:rPr>
        <w:t>十五五</w:t>
      </w:r>
      <w:r>
        <w:rPr>
          <w:rFonts w:hint="eastAsia"/>
          <w:lang w:val="en-US" w:eastAsia="zh-CN"/>
        </w:rPr>
        <w:t>”</w:t>
      </w:r>
      <w:r>
        <w:rPr>
          <w:rFonts w:hint="default"/>
          <w:lang w:val="en-US" w:eastAsia="zh-CN"/>
        </w:rPr>
        <w:t>规划实施全过程，强化党内监督，完善人大监督、民主监督、行政监督、司法监督、群众监督、舆论监督制度，发挥审计监督、统计监督职能作用，推进纪律监督、监察监督、巡察监督统筹衔接，增强监督效能，以强有力的监督确保</w:t>
      </w:r>
      <w:r>
        <w:rPr>
          <w:rFonts w:hint="eastAsia"/>
          <w:lang w:val="en-US" w:eastAsia="zh-CN"/>
        </w:rPr>
        <w:t>“</w:t>
      </w:r>
      <w:r>
        <w:rPr>
          <w:rFonts w:hint="default"/>
          <w:lang w:val="en-US" w:eastAsia="zh-CN"/>
        </w:rPr>
        <w:t>十五五</w:t>
      </w:r>
      <w:r>
        <w:rPr>
          <w:rFonts w:hint="eastAsia"/>
          <w:lang w:val="en-US" w:eastAsia="zh-CN"/>
        </w:rPr>
        <w:t>”</w:t>
      </w:r>
      <w:r>
        <w:rPr>
          <w:rFonts w:hint="default"/>
          <w:lang w:val="en-US" w:eastAsia="zh-CN"/>
        </w:rPr>
        <w:t>规划目标任务落到实处。</w:t>
      </w:r>
    </w:p>
    <w:p w14:paraId="574F1936">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p>
    <w:p w14:paraId="27C0EEE9">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sectPr>
          <w:pgSz w:w="11906" w:h="16838"/>
          <w:pgMar w:top="2098" w:right="1474" w:bottom="1984" w:left="1587" w:header="851" w:footer="1304" w:gutter="0"/>
          <w:paperSrc/>
          <w:pgBorders>
            <w:top w:val="none" w:sz="0" w:space="0"/>
            <w:left w:val="none" w:sz="0" w:space="0"/>
            <w:bottom w:val="none" w:sz="0" w:space="0"/>
            <w:right w:val="none" w:sz="0" w:space="0"/>
          </w:pgBorders>
          <w:pgNumType w:fmt="decimal"/>
          <w:cols w:space="720" w:num="1"/>
          <w:rtlGutter w:val="0"/>
          <w:docGrid w:type="linesAndChars" w:linePitch="579" w:charSpace="-842"/>
        </w:sectPr>
      </w:pPr>
    </w:p>
    <w:p w14:paraId="1E29074D">
      <w:pPr>
        <w:keepNext w:val="0"/>
        <w:keepLines w:val="0"/>
        <w:pageBreakBefore w:val="0"/>
        <w:widowControl w:val="0"/>
        <w:kinsoku/>
        <w:wordWrap/>
        <w:overflowPunct/>
        <w:topLinePunct w:val="0"/>
        <w:autoSpaceDE/>
        <w:autoSpaceDN/>
        <w:bidi w:val="0"/>
        <w:adjustRightInd/>
        <w:snapToGrid/>
        <w:spacing w:line="500" w:lineRule="exact"/>
        <w:ind w:firstLine="632" w:firstLineChars="200"/>
        <w:textAlignment w:val="auto"/>
        <w:rPr>
          <w:rFonts w:hint="eastAsia" w:ascii="方正小标宋简体" w:hAnsi="方正小标宋简体" w:eastAsia="方正小标宋简体" w:cs="方正小标宋简体"/>
          <w:lang w:val="en-US" w:eastAsia="zh-CN"/>
        </w:rPr>
      </w:pPr>
      <w:bookmarkStart w:id="355" w:name="_Toc21561"/>
      <w:r>
        <w:rPr>
          <w:rFonts w:hint="eastAsia" w:ascii="方正小标宋简体" w:hAnsi="方正小标宋简体" w:eastAsia="方正小标宋简体" w:cs="方正小标宋简体"/>
          <w:lang w:val="en-US" w:eastAsia="zh-CN"/>
        </w:rPr>
        <w:t>名词解释</w:t>
      </w:r>
      <w:bookmarkEnd w:id="355"/>
    </w:p>
    <w:p w14:paraId="371356D4">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黑体" w:hAnsi="黑体" w:eastAsia="黑体" w:cs="黑体"/>
          <w:lang w:val="en-US" w:eastAsia="zh-CN"/>
        </w:rPr>
        <w:t>“千万工程”：</w:t>
      </w:r>
      <w:r>
        <w:rPr>
          <w:rFonts w:hint="default"/>
          <w:lang w:val="en-US" w:eastAsia="zh-CN"/>
        </w:rPr>
        <w:t>2003年6月，习近平总书记在浙江工作作出了实施</w:t>
      </w:r>
      <w:r>
        <w:rPr>
          <w:rFonts w:hint="eastAsia"/>
          <w:lang w:val="en-US" w:eastAsia="zh-CN"/>
        </w:rPr>
        <w:t>“</w:t>
      </w:r>
      <w:r>
        <w:rPr>
          <w:rFonts w:hint="default"/>
          <w:lang w:val="en-US" w:eastAsia="zh-CN"/>
        </w:rPr>
        <w:t>千村示范、万村整治</w:t>
      </w:r>
      <w:r>
        <w:rPr>
          <w:rFonts w:hint="eastAsia"/>
          <w:lang w:val="en-US" w:eastAsia="zh-CN"/>
        </w:rPr>
        <w:t>”</w:t>
      </w:r>
      <w:r>
        <w:rPr>
          <w:rFonts w:hint="default"/>
          <w:lang w:val="en-US" w:eastAsia="zh-CN"/>
        </w:rPr>
        <w:t>工程（简称</w:t>
      </w:r>
      <w:r>
        <w:rPr>
          <w:rFonts w:hint="eastAsia"/>
          <w:lang w:val="en-US" w:eastAsia="zh-CN"/>
        </w:rPr>
        <w:t>“</w:t>
      </w:r>
      <w:r>
        <w:rPr>
          <w:rFonts w:hint="default"/>
          <w:lang w:val="en-US" w:eastAsia="zh-CN"/>
        </w:rPr>
        <w:t>千万工程</w:t>
      </w:r>
      <w:r>
        <w:rPr>
          <w:rFonts w:hint="eastAsia"/>
          <w:lang w:val="en-US" w:eastAsia="zh-CN"/>
        </w:rPr>
        <w:t>”</w:t>
      </w:r>
      <w:r>
        <w:rPr>
          <w:rFonts w:hint="default"/>
          <w:lang w:val="en-US" w:eastAsia="zh-CN"/>
        </w:rPr>
        <w:t>）的决策。2018年9月，</w:t>
      </w:r>
      <w:r>
        <w:rPr>
          <w:rFonts w:hint="eastAsia"/>
          <w:lang w:val="en-US" w:eastAsia="zh-CN"/>
        </w:rPr>
        <w:t>“</w:t>
      </w:r>
      <w:r>
        <w:rPr>
          <w:rFonts w:hint="default"/>
          <w:lang w:val="en-US" w:eastAsia="zh-CN"/>
        </w:rPr>
        <w:t>千万工程</w:t>
      </w:r>
      <w:r>
        <w:rPr>
          <w:rFonts w:hint="eastAsia"/>
          <w:lang w:val="en-US" w:eastAsia="zh-CN"/>
        </w:rPr>
        <w:t>”</w:t>
      </w:r>
      <w:r>
        <w:rPr>
          <w:rFonts w:hint="default"/>
          <w:lang w:val="en-US" w:eastAsia="zh-CN"/>
        </w:rPr>
        <w:t>获得联合国最高环保荣誉</w:t>
      </w:r>
      <w:r>
        <w:rPr>
          <w:rFonts w:hint="eastAsia"/>
          <w:lang w:val="en-US" w:eastAsia="zh-CN"/>
        </w:rPr>
        <w:t>——“</w:t>
      </w:r>
      <w:r>
        <w:rPr>
          <w:rFonts w:hint="default"/>
          <w:lang w:val="en-US" w:eastAsia="zh-CN"/>
        </w:rPr>
        <w:t>地球卫士奖</w:t>
      </w:r>
      <w:r>
        <w:rPr>
          <w:rFonts w:hint="eastAsia"/>
          <w:lang w:val="en-US" w:eastAsia="zh-CN"/>
        </w:rPr>
        <w:t>”</w:t>
      </w:r>
      <w:r>
        <w:rPr>
          <w:rFonts w:hint="default"/>
          <w:lang w:val="en-US" w:eastAsia="zh-CN"/>
        </w:rPr>
        <w:t>。2024年2月3日，新华社发布《中共中央 国务院关于学习运用</w:t>
      </w:r>
      <w:r>
        <w:rPr>
          <w:rFonts w:hint="eastAsia"/>
          <w:lang w:val="en-US" w:eastAsia="zh-CN"/>
        </w:rPr>
        <w:t>“</w:t>
      </w:r>
      <w:r>
        <w:rPr>
          <w:rFonts w:hint="default"/>
          <w:lang w:val="en-US" w:eastAsia="zh-CN"/>
        </w:rPr>
        <w:t>千村示范、万村整治</w:t>
      </w:r>
      <w:r>
        <w:rPr>
          <w:rFonts w:hint="eastAsia"/>
          <w:lang w:val="en-US" w:eastAsia="zh-CN"/>
        </w:rPr>
        <w:t>”</w:t>
      </w:r>
      <w:r>
        <w:rPr>
          <w:rFonts w:hint="default"/>
          <w:lang w:val="en-US" w:eastAsia="zh-CN"/>
        </w:rPr>
        <w:t>工程经验有力有效推进乡村全面振兴的意见》。20年来，</w:t>
      </w:r>
      <w:r>
        <w:rPr>
          <w:rFonts w:hint="eastAsia"/>
          <w:lang w:val="en-US" w:eastAsia="zh-CN"/>
        </w:rPr>
        <w:t>“</w:t>
      </w:r>
      <w:r>
        <w:rPr>
          <w:rFonts w:hint="default"/>
          <w:lang w:val="en-US" w:eastAsia="zh-CN"/>
        </w:rPr>
        <w:t>千万工程</w:t>
      </w:r>
      <w:r>
        <w:rPr>
          <w:rFonts w:hint="eastAsia"/>
          <w:lang w:val="en-US" w:eastAsia="zh-CN"/>
        </w:rPr>
        <w:t>”</w:t>
      </w:r>
      <w:r>
        <w:rPr>
          <w:rFonts w:hint="default"/>
          <w:lang w:val="en-US" w:eastAsia="zh-CN"/>
        </w:rPr>
        <w:t>的内涵外延不断深化拓展、迭代升级，</w:t>
      </w:r>
      <w:r>
        <w:rPr>
          <w:rFonts w:hint="eastAsia"/>
          <w:lang w:val="en-US" w:eastAsia="zh-CN"/>
        </w:rPr>
        <w:t>“</w:t>
      </w:r>
      <w:r>
        <w:rPr>
          <w:rFonts w:hint="default"/>
          <w:lang w:val="en-US" w:eastAsia="zh-CN"/>
        </w:rPr>
        <w:t>千万工程</w:t>
      </w:r>
      <w:r>
        <w:rPr>
          <w:rFonts w:hint="eastAsia"/>
          <w:lang w:val="en-US" w:eastAsia="zh-CN"/>
        </w:rPr>
        <w:t>”</w:t>
      </w:r>
      <w:r>
        <w:rPr>
          <w:rFonts w:hint="default"/>
          <w:lang w:val="en-US" w:eastAsia="zh-CN"/>
        </w:rPr>
        <w:t>经验从浙江走向全国、从中国走向世界，造就了万千美丽乡村，造福了万千农民群众，创造了推进乡村全面振兴的成功经验和实践范例。</w:t>
      </w:r>
    </w:p>
    <w:p w14:paraId="031171F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黑体" w:hAnsi="黑体" w:eastAsia="黑体" w:cs="黑体"/>
          <w:lang w:val="en-US" w:eastAsia="zh-CN"/>
        </w:rPr>
        <w:t>“</w:t>
      </w:r>
      <w:r>
        <w:rPr>
          <w:rFonts w:hint="default" w:ascii="黑体" w:hAnsi="黑体" w:eastAsia="黑体" w:cs="黑体"/>
          <w:lang w:val="en-US" w:eastAsia="zh-CN"/>
        </w:rPr>
        <w:t>两个确立</w:t>
      </w:r>
      <w:r>
        <w:rPr>
          <w:rFonts w:hint="eastAsia" w:ascii="黑体" w:hAnsi="黑体" w:eastAsia="黑体" w:cs="黑体"/>
          <w:lang w:val="en-US" w:eastAsia="zh-CN"/>
        </w:rPr>
        <w:t>”</w:t>
      </w:r>
      <w:r>
        <w:rPr>
          <w:rFonts w:hint="default" w:ascii="黑体" w:hAnsi="黑体" w:eastAsia="黑体" w:cs="黑体"/>
          <w:lang w:val="en-US" w:eastAsia="zh-CN"/>
        </w:rPr>
        <w:t>：</w:t>
      </w:r>
      <w:r>
        <w:rPr>
          <w:rFonts w:hint="default"/>
          <w:lang w:val="en-US" w:eastAsia="zh-CN"/>
        </w:rPr>
        <w:t>确立习近平同志党中央的核心、全党的核心地位，确立习近平新时代中国特色社会主义思想的指导地位。</w:t>
      </w:r>
    </w:p>
    <w:p w14:paraId="05D78CC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黑体" w:hAnsi="黑体" w:eastAsia="黑体" w:cs="黑体"/>
          <w:lang w:val="en-US" w:eastAsia="zh-CN"/>
        </w:rPr>
        <w:t>“</w:t>
      </w:r>
      <w:r>
        <w:rPr>
          <w:rFonts w:hint="default" w:ascii="黑体" w:hAnsi="黑体" w:eastAsia="黑体" w:cs="黑体"/>
          <w:lang w:val="en-US" w:eastAsia="zh-CN"/>
        </w:rPr>
        <w:t>四个意识</w:t>
      </w:r>
      <w:r>
        <w:rPr>
          <w:rFonts w:hint="eastAsia" w:ascii="黑体" w:hAnsi="黑体" w:eastAsia="黑体" w:cs="黑体"/>
          <w:lang w:val="en-US" w:eastAsia="zh-CN"/>
        </w:rPr>
        <w:t>”</w:t>
      </w:r>
      <w:r>
        <w:rPr>
          <w:rFonts w:hint="default" w:ascii="黑体" w:hAnsi="黑体" w:eastAsia="黑体" w:cs="黑体"/>
          <w:lang w:val="en-US" w:eastAsia="zh-CN"/>
        </w:rPr>
        <w:t>：</w:t>
      </w:r>
      <w:r>
        <w:rPr>
          <w:rFonts w:hint="default"/>
          <w:lang w:val="en-US" w:eastAsia="zh-CN"/>
        </w:rPr>
        <w:t>政治意识、大局意识、核心意识、看齐意识。</w:t>
      </w:r>
    </w:p>
    <w:p w14:paraId="41C7280E">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黑体" w:hAnsi="黑体" w:eastAsia="黑体" w:cs="黑体"/>
          <w:lang w:val="en-US" w:eastAsia="zh-CN"/>
        </w:rPr>
        <w:t>“</w:t>
      </w:r>
      <w:r>
        <w:rPr>
          <w:rFonts w:hint="default" w:ascii="黑体" w:hAnsi="黑体" w:eastAsia="黑体" w:cs="黑体"/>
          <w:lang w:val="en-US" w:eastAsia="zh-CN"/>
        </w:rPr>
        <w:t>四个自信</w:t>
      </w:r>
      <w:r>
        <w:rPr>
          <w:rFonts w:hint="eastAsia" w:ascii="黑体" w:hAnsi="黑体" w:eastAsia="黑体" w:cs="黑体"/>
          <w:lang w:val="en-US" w:eastAsia="zh-CN"/>
        </w:rPr>
        <w:t>”</w:t>
      </w:r>
      <w:r>
        <w:rPr>
          <w:rFonts w:hint="default" w:ascii="黑体" w:hAnsi="黑体" w:eastAsia="黑体" w:cs="黑体"/>
          <w:lang w:val="en-US" w:eastAsia="zh-CN"/>
        </w:rPr>
        <w:t>：</w:t>
      </w:r>
      <w:r>
        <w:rPr>
          <w:rFonts w:hint="default"/>
          <w:lang w:val="en-US" w:eastAsia="zh-CN"/>
        </w:rPr>
        <w:t>道路自信、理论自信、制度自信、文化自信。</w:t>
      </w:r>
    </w:p>
    <w:p w14:paraId="6FA2DE7D">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黑体" w:hAnsi="黑体" w:eastAsia="黑体" w:cs="黑体"/>
          <w:lang w:val="en-US" w:eastAsia="zh-CN"/>
        </w:rPr>
        <w:t>“</w:t>
      </w:r>
      <w:r>
        <w:rPr>
          <w:rFonts w:hint="default" w:ascii="黑体" w:hAnsi="黑体" w:eastAsia="黑体" w:cs="黑体"/>
          <w:lang w:val="en-US" w:eastAsia="zh-CN"/>
        </w:rPr>
        <w:t>两个维护</w:t>
      </w:r>
      <w:r>
        <w:rPr>
          <w:rFonts w:hint="eastAsia" w:ascii="黑体" w:hAnsi="黑体" w:eastAsia="黑体" w:cs="黑体"/>
          <w:lang w:val="en-US" w:eastAsia="zh-CN"/>
        </w:rPr>
        <w:t>”</w:t>
      </w:r>
      <w:r>
        <w:rPr>
          <w:rFonts w:hint="default" w:ascii="黑体" w:hAnsi="黑体" w:eastAsia="黑体" w:cs="黑体"/>
          <w:lang w:val="en-US" w:eastAsia="zh-CN"/>
        </w:rPr>
        <w:t>：</w:t>
      </w:r>
      <w:r>
        <w:rPr>
          <w:rFonts w:hint="default"/>
          <w:lang w:val="en-US" w:eastAsia="zh-CN"/>
        </w:rPr>
        <w:t>坚决维护习近平总书记党中央的核心、全党的核心地位，坚决维护党中央权威和集中统一领导。</w:t>
      </w:r>
    </w:p>
    <w:p w14:paraId="6A6D24E3">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黑体" w:hAnsi="黑体" w:eastAsia="黑体" w:cs="黑体"/>
          <w:lang w:val="en-US" w:eastAsia="zh-CN"/>
        </w:rPr>
        <w:t>“</w:t>
      </w:r>
      <w:r>
        <w:rPr>
          <w:rFonts w:hint="default" w:ascii="黑体" w:hAnsi="黑体" w:eastAsia="黑体" w:cs="黑体"/>
          <w:lang w:val="en-US" w:eastAsia="zh-CN"/>
        </w:rPr>
        <w:t>两重</w:t>
      </w:r>
      <w:r>
        <w:rPr>
          <w:rFonts w:hint="eastAsia" w:ascii="黑体" w:hAnsi="黑体" w:eastAsia="黑体" w:cs="黑体"/>
          <w:lang w:val="en-US" w:eastAsia="zh-CN"/>
        </w:rPr>
        <w:t>”</w:t>
      </w:r>
      <w:r>
        <w:rPr>
          <w:rFonts w:hint="default" w:ascii="黑体" w:hAnsi="黑体" w:eastAsia="黑体" w:cs="黑体"/>
          <w:lang w:val="en-US" w:eastAsia="zh-CN"/>
        </w:rPr>
        <w:t>：</w:t>
      </w:r>
      <w:r>
        <w:rPr>
          <w:rFonts w:hint="default"/>
          <w:lang w:val="en-US" w:eastAsia="zh-CN"/>
        </w:rPr>
        <w:t>国家重大战略实施和重点领域安全能力建设。</w:t>
      </w:r>
    </w:p>
    <w:p w14:paraId="69ACD3D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黑体" w:hAnsi="黑体" w:eastAsia="黑体" w:cs="黑体"/>
          <w:lang w:val="en-US" w:eastAsia="zh-CN"/>
        </w:rPr>
        <w:t>“</w:t>
      </w:r>
      <w:r>
        <w:rPr>
          <w:rFonts w:hint="default" w:ascii="黑体" w:hAnsi="黑体" w:eastAsia="黑体" w:cs="黑体"/>
          <w:lang w:val="en-US" w:eastAsia="zh-CN"/>
        </w:rPr>
        <w:t>两新</w:t>
      </w:r>
      <w:r>
        <w:rPr>
          <w:rFonts w:hint="eastAsia" w:ascii="黑体" w:hAnsi="黑体" w:eastAsia="黑体" w:cs="黑体"/>
          <w:lang w:val="en-US" w:eastAsia="zh-CN"/>
        </w:rPr>
        <w:t>”</w:t>
      </w:r>
      <w:r>
        <w:rPr>
          <w:rFonts w:hint="default" w:ascii="黑体" w:hAnsi="黑体" w:eastAsia="黑体" w:cs="黑体"/>
          <w:lang w:val="en-US" w:eastAsia="zh-CN"/>
        </w:rPr>
        <w:t>：</w:t>
      </w:r>
      <w:r>
        <w:rPr>
          <w:rFonts w:hint="default"/>
          <w:lang w:val="en-US" w:eastAsia="zh-CN"/>
        </w:rPr>
        <w:t>大规模设备更新、消费品以旧换新。</w:t>
      </w:r>
    </w:p>
    <w:p w14:paraId="398D859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黑体" w:hAnsi="黑体" w:eastAsia="黑体" w:cs="黑体"/>
          <w:lang w:val="en-US" w:eastAsia="zh-CN"/>
        </w:rPr>
        <w:t>新质生产力：</w:t>
      </w:r>
      <w:r>
        <w:rPr>
          <w:rFonts w:hint="default"/>
          <w:lang w:val="en-US" w:eastAsia="zh-CN"/>
        </w:rPr>
        <w:t>2023年9月，习近平总书记在黑龙江考察调研期间首次提到</w:t>
      </w:r>
      <w:r>
        <w:rPr>
          <w:rFonts w:hint="eastAsia"/>
          <w:lang w:val="en-US" w:eastAsia="zh-CN"/>
        </w:rPr>
        <w:t>“</w:t>
      </w:r>
      <w:r>
        <w:rPr>
          <w:rFonts w:hint="default"/>
          <w:lang w:val="en-US" w:eastAsia="zh-CN"/>
        </w:rPr>
        <w:t>新质生产力</w:t>
      </w:r>
      <w:r>
        <w:rPr>
          <w:rFonts w:hint="eastAsia"/>
          <w:lang w:val="en-US" w:eastAsia="zh-CN"/>
        </w:rPr>
        <w:t>”</w:t>
      </w:r>
      <w:r>
        <w:rPr>
          <w:rFonts w:hint="default"/>
          <w:lang w:val="en-US" w:eastAsia="zh-CN"/>
        </w:rPr>
        <w:t>。习近平总书记围绕发展新质生产力作出一系列重要论述，强调</w:t>
      </w:r>
      <w:r>
        <w:rPr>
          <w:rFonts w:hint="eastAsia"/>
          <w:lang w:val="en-US" w:eastAsia="zh-CN"/>
        </w:rPr>
        <w:t>“</w:t>
      </w:r>
      <w:r>
        <w:rPr>
          <w:rFonts w:hint="default"/>
          <w:lang w:val="en-US" w:eastAsia="zh-CN"/>
        </w:rPr>
        <w:t>新质生产力是由技术革命性突破、生产要素创新性配置、产业深度转型升级而催生的当代先进生产力，以劳动者、劳动资料、劳动对象及其优化组合的质变为基本内涵，以全要素生产率提升为核心标志</w:t>
      </w:r>
      <w:r>
        <w:rPr>
          <w:rFonts w:hint="eastAsia"/>
          <w:lang w:val="en-US" w:eastAsia="zh-CN"/>
        </w:rPr>
        <w:t>”</w:t>
      </w:r>
      <w:r>
        <w:rPr>
          <w:rFonts w:hint="default"/>
          <w:lang w:val="en-US" w:eastAsia="zh-CN"/>
        </w:rPr>
        <w:t>。</w:t>
      </w:r>
    </w:p>
    <w:p w14:paraId="69797FF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黑体" w:hAnsi="黑体" w:eastAsia="黑体" w:cs="黑体"/>
          <w:lang w:val="en-US" w:eastAsia="zh-CN"/>
        </w:rPr>
        <w:t>战略性新兴产业：</w:t>
      </w:r>
      <w:r>
        <w:rPr>
          <w:rFonts w:hint="default"/>
          <w:lang w:val="en-US" w:eastAsia="zh-CN"/>
        </w:rPr>
        <w:t>指建立在重大前沿科技突破基础上，代表未来科技和产业发展新方向，体现当今世界知识经济、循环经济、低碳经济发展潮流，尚处于成长初期、未来发展潜力巨大，对经济社会具有全局带动和重大引领作用的产业。包括新一代信息技术产业、高端装备制造产业、新材料产业、生物产业、新能源汽车产业、新能源产业、节能环保产业、数字创意产业、低空经济等领域。</w:t>
      </w:r>
    </w:p>
    <w:p w14:paraId="555F505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黑体" w:hAnsi="黑体" w:eastAsia="黑体" w:cs="黑体"/>
          <w:lang w:val="en-US" w:eastAsia="zh-CN"/>
        </w:rPr>
        <w:t>“</w:t>
      </w:r>
      <w:r>
        <w:rPr>
          <w:rFonts w:hint="default" w:ascii="黑体" w:hAnsi="黑体" w:eastAsia="黑体" w:cs="黑体"/>
          <w:lang w:val="en-US" w:eastAsia="zh-CN"/>
        </w:rPr>
        <w:t>双极带动、多点支撑、三区协同</w:t>
      </w:r>
      <w:r>
        <w:rPr>
          <w:rFonts w:hint="eastAsia" w:ascii="黑体" w:hAnsi="黑体" w:eastAsia="黑体" w:cs="黑体"/>
          <w:lang w:val="en-US" w:eastAsia="zh-CN"/>
        </w:rPr>
        <w:t>”</w:t>
      </w:r>
      <w:r>
        <w:rPr>
          <w:rFonts w:hint="default" w:ascii="黑体" w:hAnsi="黑体" w:eastAsia="黑体" w:cs="黑体"/>
          <w:lang w:val="en-US" w:eastAsia="zh-CN"/>
        </w:rPr>
        <w:t>战略：</w:t>
      </w:r>
      <w:r>
        <w:rPr>
          <w:rFonts w:hint="default"/>
          <w:lang w:val="en-US" w:eastAsia="zh-CN"/>
        </w:rPr>
        <w:t>《中共陕西省委关于制定国民经济和社会发展第十五个五年规划的建议》提出，强化西安、榆林两大增长极对全省发展的带动作用，持续提升其他城市支撑作用，更好实现关中陕北陕南三大板块错位发展、联动互补、协同升级。</w:t>
      </w:r>
    </w:p>
    <w:p w14:paraId="7A31367A">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黑体" w:hAnsi="黑体" w:eastAsia="黑体" w:cs="黑体"/>
          <w:rtl w:val="0"/>
          <w:lang w:val="en-US" w:eastAsia="zh-CN"/>
        </w:rPr>
        <w:t>“</w:t>
      </w:r>
      <w:r>
        <w:rPr>
          <w:rFonts w:hint="default" w:ascii="黑体" w:hAnsi="黑体" w:eastAsia="黑体" w:cs="黑体"/>
          <w:rtl w:val="0"/>
          <w:lang w:val="en-US" w:eastAsia="zh-CN"/>
        </w:rPr>
        <w:t>五位一体</w:t>
      </w:r>
      <w:r>
        <w:rPr>
          <w:rFonts w:hint="eastAsia" w:ascii="黑体" w:hAnsi="黑体" w:eastAsia="黑体" w:cs="黑体"/>
          <w:rtl w:val="0"/>
          <w:lang w:val="en-US" w:eastAsia="zh-CN"/>
        </w:rPr>
        <w:t>”</w:t>
      </w:r>
      <w:r>
        <w:rPr>
          <w:rFonts w:hint="default" w:ascii="黑体" w:hAnsi="黑体" w:eastAsia="黑体" w:cs="黑体"/>
          <w:rtl w:val="0"/>
          <w:lang w:val="en-US" w:eastAsia="zh-CN"/>
        </w:rPr>
        <w:t>总体布局：</w:t>
      </w:r>
      <w:r>
        <w:rPr>
          <w:rFonts w:hint="default"/>
          <w:rtl w:val="0"/>
          <w:lang w:val="en-US" w:eastAsia="zh-CN"/>
        </w:rPr>
        <w:t>指经济建设、政治建设、文化建设、社会建设和生态文明建设</w:t>
      </w:r>
      <w:r>
        <w:rPr>
          <w:rFonts w:hint="eastAsia"/>
          <w:rtl w:val="0"/>
          <w:lang w:val="en-US" w:eastAsia="zh-CN"/>
        </w:rPr>
        <w:t>“</w:t>
      </w:r>
      <w:r>
        <w:rPr>
          <w:rFonts w:hint="default"/>
          <w:rtl w:val="0"/>
          <w:lang w:val="en-US" w:eastAsia="zh-CN"/>
        </w:rPr>
        <w:t>五位一体</w:t>
      </w:r>
      <w:r>
        <w:rPr>
          <w:rFonts w:hint="eastAsia"/>
          <w:rtl w:val="0"/>
          <w:lang w:val="en-US" w:eastAsia="zh-CN"/>
        </w:rPr>
        <w:t>”</w:t>
      </w:r>
      <w:r>
        <w:rPr>
          <w:rFonts w:hint="default"/>
          <w:rtl w:val="0"/>
          <w:lang w:val="en-US" w:eastAsia="zh-CN"/>
        </w:rPr>
        <w:t>，全面推进。</w:t>
      </w:r>
    </w:p>
    <w:p w14:paraId="5618DAAA">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eastAsia" w:ascii="黑体" w:hAnsi="黑体" w:eastAsia="黑体" w:cs="黑体"/>
          <w:rtl w:val="0"/>
          <w:lang w:val="en-US" w:eastAsia="zh-CN"/>
        </w:rPr>
        <w:t>“</w:t>
      </w:r>
      <w:r>
        <w:rPr>
          <w:rFonts w:hint="default" w:ascii="黑体" w:hAnsi="黑体" w:eastAsia="黑体" w:cs="黑体"/>
          <w:rtl w:val="0"/>
          <w:lang w:val="en-US" w:eastAsia="zh-CN"/>
        </w:rPr>
        <w:t>四个全面</w:t>
      </w:r>
      <w:r>
        <w:rPr>
          <w:rFonts w:hint="eastAsia" w:ascii="黑体" w:hAnsi="黑体" w:eastAsia="黑体" w:cs="黑体"/>
          <w:rtl w:val="0"/>
          <w:lang w:val="en-US" w:eastAsia="zh-CN"/>
        </w:rPr>
        <w:t>”</w:t>
      </w:r>
      <w:r>
        <w:rPr>
          <w:rFonts w:hint="default" w:ascii="黑体" w:hAnsi="黑体" w:eastAsia="黑体" w:cs="黑体"/>
          <w:rtl w:val="0"/>
          <w:lang w:val="en-US" w:eastAsia="zh-CN"/>
        </w:rPr>
        <w:t>战略布局：</w:t>
      </w:r>
      <w:r>
        <w:rPr>
          <w:rFonts w:hint="default"/>
          <w:rtl w:val="0"/>
          <w:lang w:val="en-US" w:eastAsia="zh-CN"/>
        </w:rPr>
        <w:t>指全面建成小康社会、全面深化改革、全面依法治国、全面从严治党。</w:t>
      </w:r>
    </w:p>
    <w:p w14:paraId="62016D91">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eastAsia" w:ascii="黑体" w:hAnsi="黑体" w:eastAsia="黑体" w:cs="黑体"/>
          <w:rtl w:val="0"/>
          <w:lang w:val="en-US" w:eastAsia="zh-CN"/>
        </w:rPr>
        <w:t>“</w:t>
      </w:r>
      <w:r>
        <w:rPr>
          <w:rFonts w:hint="default" w:ascii="黑体" w:hAnsi="黑体" w:eastAsia="黑体" w:cs="黑体"/>
          <w:rtl w:val="0"/>
          <w:lang w:val="en-US" w:eastAsia="zh-CN"/>
        </w:rPr>
        <w:t>五个扎实</w:t>
      </w:r>
      <w:r>
        <w:rPr>
          <w:rFonts w:hint="eastAsia" w:ascii="黑体" w:hAnsi="黑体" w:eastAsia="黑体" w:cs="黑体"/>
          <w:rtl w:val="0"/>
          <w:lang w:val="en-US" w:eastAsia="zh-CN"/>
        </w:rPr>
        <w:t>”</w:t>
      </w:r>
      <w:r>
        <w:rPr>
          <w:rFonts w:hint="default" w:ascii="黑体" w:hAnsi="黑体" w:eastAsia="黑体" w:cs="黑体"/>
          <w:rtl w:val="0"/>
          <w:lang w:val="en-US" w:eastAsia="zh-CN"/>
        </w:rPr>
        <w:t>：</w:t>
      </w:r>
      <w:r>
        <w:rPr>
          <w:rFonts w:hint="default"/>
          <w:rtl w:val="0"/>
          <w:lang w:val="en-US" w:eastAsia="zh-CN"/>
        </w:rPr>
        <w:t>2020年4月20</w:t>
      </w:r>
      <w:r>
        <w:rPr>
          <w:rFonts w:hint="eastAsia"/>
          <w:rtl w:val="0"/>
          <w:lang w:val="en-US" w:eastAsia="zh-CN"/>
        </w:rPr>
        <w:t>—</w:t>
      </w:r>
      <w:r>
        <w:rPr>
          <w:rFonts w:hint="default"/>
          <w:rtl w:val="0"/>
          <w:lang w:val="en-US" w:eastAsia="zh-CN"/>
        </w:rPr>
        <w:t>23日，习近平总书记来陕考察时提出，扎实推动经济持续健康发展、扎实推进特色现代农业建设、扎实加强文化建设、扎实做好保障和改善民生工作、扎实落实全面从严治党。</w:t>
      </w:r>
    </w:p>
    <w:p w14:paraId="1331604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eastAsia" w:ascii="黑体" w:hAnsi="黑体" w:eastAsia="黑体" w:cs="黑体"/>
          <w:lang w:val="en-US" w:eastAsia="zh-CN"/>
        </w:rPr>
        <w:t>“</w:t>
      </w:r>
      <w:r>
        <w:rPr>
          <w:rFonts w:hint="default" w:ascii="黑体" w:hAnsi="黑体" w:eastAsia="黑体" w:cs="黑体"/>
          <w:lang w:val="en-US" w:eastAsia="zh-CN"/>
        </w:rPr>
        <w:t>五项要求</w:t>
      </w:r>
      <w:r>
        <w:rPr>
          <w:rFonts w:hint="eastAsia" w:ascii="黑体" w:hAnsi="黑体" w:eastAsia="黑体" w:cs="黑体"/>
          <w:lang w:val="en-US" w:eastAsia="zh-CN"/>
        </w:rPr>
        <w:t>”</w:t>
      </w:r>
      <w:r>
        <w:rPr>
          <w:rFonts w:hint="default" w:ascii="黑体" w:hAnsi="黑体" w:eastAsia="黑体" w:cs="黑体"/>
          <w:lang w:val="en-US" w:eastAsia="zh-CN"/>
        </w:rPr>
        <w:t>：</w:t>
      </w:r>
      <w:r>
        <w:rPr>
          <w:rFonts w:hint="default"/>
          <w:lang w:eastAsia="zh-CN"/>
        </w:rPr>
        <w:t>习近平总书记</w:t>
      </w:r>
      <w:r>
        <w:rPr>
          <w:rFonts w:hint="default"/>
          <w:lang w:val="en-US" w:eastAsia="zh-CN"/>
        </w:rPr>
        <w:t>来陕考察提出</w:t>
      </w:r>
      <w:r>
        <w:rPr>
          <w:rFonts w:hint="default"/>
          <w:lang w:eastAsia="zh-CN"/>
        </w:rPr>
        <w:t>推动经济高质量发展迈出更大步伐、打造内陆改革开放高地、推动生态环境质量持续好转、加强民生保障和社会建设、推动全面从严治党向纵深发展等五项要求</w:t>
      </w:r>
    </w:p>
    <w:p w14:paraId="0529B5F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default" w:ascii="黑体" w:hAnsi="黑体" w:eastAsia="黑体" w:cs="黑体"/>
          <w:rtl w:val="0"/>
          <w:lang w:val="en-US" w:eastAsia="zh-CN"/>
        </w:rPr>
        <w:t>全员劳动生产率：</w:t>
      </w:r>
      <w:r>
        <w:rPr>
          <w:rFonts w:hint="default"/>
          <w:rtl w:val="0"/>
          <w:lang w:val="en-US" w:eastAsia="zh-CN"/>
        </w:rPr>
        <w:t>指反映一个地区所有从业者在一定时期内创造的劳动成果与其相适应的劳动消耗量的比值，衡量劳动力要素的投入产出效率。全员劳动生产率=GDP/年平均从业人员数。</w:t>
      </w:r>
    </w:p>
    <w:p w14:paraId="32518DC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default" w:ascii="黑体" w:hAnsi="黑体" w:eastAsia="黑体" w:cs="黑体"/>
          <w:rtl w:val="0"/>
          <w:lang w:val="en-US" w:eastAsia="zh-CN"/>
        </w:rPr>
        <w:t>数字经济：</w:t>
      </w:r>
      <w:r>
        <w:rPr>
          <w:rFonts w:hint="default"/>
          <w:rtl w:val="0"/>
          <w:lang w:val="en-US" w:eastAsia="zh-CN"/>
        </w:rPr>
        <w:t>指以数据资源为关键生产要素，以现代信息网络为主要载体，以信息通信技术融合应用、全要素数字化转型为重要推动力，促进公平与效率更加统一的新经济形态。数字产业化指为数字经济发展提供技术、产品、服务和基础设施的产业集群，是数字经济的</w:t>
      </w:r>
      <w:r>
        <w:rPr>
          <w:rFonts w:hint="eastAsia"/>
          <w:rtl w:val="0"/>
          <w:lang w:val="en-US" w:eastAsia="zh-CN"/>
        </w:rPr>
        <w:t>“</w:t>
      </w:r>
      <w:r>
        <w:rPr>
          <w:rFonts w:hint="default"/>
          <w:rtl w:val="0"/>
          <w:lang w:val="en-US" w:eastAsia="zh-CN"/>
        </w:rPr>
        <w:t>硬件</w:t>
      </w:r>
      <w:r>
        <w:rPr>
          <w:rFonts w:hint="eastAsia"/>
          <w:rtl w:val="0"/>
          <w:lang w:val="en-US" w:eastAsia="zh-CN"/>
        </w:rPr>
        <w:t>”</w:t>
      </w:r>
      <w:r>
        <w:rPr>
          <w:rFonts w:hint="default"/>
          <w:rtl w:val="0"/>
          <w:lang w:val="en-US" w:eastAsia="zh-CN"/>
        </w:rPr>
        <w:t>和</w:t>
      </w:r>
      <w:r>
        <w:rPr>
          <w:rFonts w:hint="eastAsia"/>
          <w:rtl w:val="0"/>
          <w:lang w:val="en-US" w:eastAsia="zh-CN"/>
        </w:rPr>
        <w:t>“</w:t>
      </w:r>
      <w:r>
        <w:rPr>
          <w:rFonts w:hint="default"/>
          <w:rtl w:val="0"/>
          <w:lang w:val="en-US" w:eastAsia="zh-CN"/>
        </w:rPr>
        <w:t>软件</w:t>
      </w:r>
      <w:r>
        <w:rPr>
          <w:rFonts w:hint="eastAsia"/>
          <w:rtl w:val="0"/>
          <w:lang w:val="en-US" w:eastAsia="zh-CN"/>
        </w:rPr>
        <w:t>”</w:t>
      </w:r>
      <w:r>
        <w:rPr>
          <w:rFonts w:hint="default"/>
          <w:rtl w:val="0"/>
          <w:lang w:val="en-US" w:eastAsia="zh-CN"/>
        </w:rPr>
        <w:t>支撑。产业数字化指传统产业通过应用数字技术，实现生产、经营、管理、服务等环节的数字化转型，进而带来产出增加和效率提升，是数字经济赋能实体经济的核心环节。数字化治理即利用数字技术提升政府治理、社会治理和企业治理的效能，是数字经济在公共领域的延伸应用，核心是实现治理的精准化、高效化、透明化。数据价值化即数据从原始资源转化为可用资产的全过程，是数字经济的核心价值来源，也是我国数字经济发展的重点方向。</w:t>
      </w:r>
    </w:p>
    <w:p w14:paraId="01DFF57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eastAsia" w:ascii="黑体" w:hAnsi="黑体" w:eastAsia="黑体" w:cs="黑体"/>
          <w:rtl w:val="0"/>
          <w:lang w:val="en-US" w:eastAsia="zh-CN"/>
        </w:rPr>
        <w:t>“</w:t>
      </w:r>
      <w:r>
        <w:rPr>
          <w:rFonts w:hint="default" w:ascii="黑体" w:hAnsi="黑体" w:eastAsia="黑体" w:cs="黑体"/>
          <w:rtl w:val="0"/>
          <w:lang w:val="en-US" w:eastAsia="zh-CN"/>
        </w:rPr>
        <w:t>汉八味</w:t>
      </w:r>
      <w:r>
        <w:rPr>
          <w:rFonts w:hint="eastAsia" w:ascii="黑体" w:hAnsi="黑体" w:eastAsia="黑体" w:cs="黑体"/>
          <w:rtl w:val="0"/>
          <w:lang w:val="en-US" w:eastAsia="zh-CN"/>
        </w:rPr>
        <w:t>”</w:t>
      </w:r>
      <w:r>
        <w:rPr>
          <w:rFonts w:hint="default" w:ascii="黑体" w:hAnsi="黑体" w:eastAsia="黑体" w:cs="黑体"/>
          <w:rtl w:val="0"/>
          <w:lang w:val="en-US" w:eastAsia="zh-CN"/>
        </w:rPr>
        <w:t>中药材：</w:t>
      </w:r>
      <w:r>
        <w:rPr>
          <w:rFonts w:hint="default"/>
          <w:rtl w:val="0"/>
          <w:lang w:val="en-US" w:eastAsia="zh-CN"/>
        </w:rPr>
        <w:t>指天麻、西洋参、杜仲、元胡、银杏、附子、猪苓、山茱萸，是陕西汉中的道地药材。</w:t>
      </w:r>
    </w:p>
    <w:p w14:paraId="5067148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default" w:ascii="黑体" w:hAnsi="黑体" w:eastAsia="黑体" w:cs="黑体"/>
          <w:rtl w:val="0"/>
          <w:lang w:val="en-US" w:eastAsia="zh-CN"/>
        </w:rPr>
        <w:t>人工智能（Artificial Intelligence）：</w:t>
      </w:r>
      <w:r>
        <w:rPr>
          <w:rFonts w:hint="default"/>
          <w:rtl w:val="0"/>
          <w:lang w:val="en-US" w:eastAsia="zh-CN"/>
        </w:rPr>
        <w:t>简称AI，是计算机科学的交叉领域，1956年达特茅斯会议正式定名，核心是研究开发用于模拟、延伸和扩展人类智能的理论、方法、技术及应用系统，让机器能执行通常需人类智能完成的任务，如感知、学习、推理、决策、语言交互等。</w:t>
      </w:r>
    </w:p>
    <w:p w14:paraId="6728D346">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eastAsia" w:ascii="黑体" w:hAnsi="黑体" w:eastAsia="黑体" w:cs="黑体"/>
          <w:rtl w:val="0"/>
          <w:lang w:val="en-US" w:eastAsia="zh-CN"/>
        </w:rPr>
        <w:t>“</w:t>
      </w:r>
      <w:r>
        <w:rPr>
          <w:rFonts w:hint="default" w:ascii="黑体" w:hAnsi="黑体" w:eastAsia="黑体" w:cs="黑体"/>
          <w:rtl w:val="0"/>
          <w:lang w:val="en-US" w:eastAsia="zh-CN"/>
        </w:rPr>
        <w:t>平急两用</w:t>
      </w:r>
      <w:r>
        <w:rPr>
          <w:rFonts w:hint="eastAsia" w:ascii="黑体" w:hAnsi="黑体" w:eastAsia="黑体" w:cs="黑体"/>
          <w:rtl w:val="0"/>
          <w:lang w:val="en-US" w:eastAsia="zh-CN"/>
        </w:rPr>
        <w:t>”</w:t>
      </w:r>
      <w:r>
        <w:rPr>
          <w:rFonts w:hint="default" w:ascii="黑体" w:hAnsi="黑体" w:eastAsia="黑体" w:cs="黑体"/>
          <w:rtl w:val="0"/>
          <w:lang w:val="en-US" w:eastAsia="zh-CN"/>
        </w:rPr>
        <w:t>公共基础设施：</w:t>
      </w:r>
      <w:r>
        <w:rPr>
          <w:rFonts w:hint="default"/>
          <w:rtl w:val="0"/>
          <w:lang w:val="en-US" w:eastAsia="zh-CN"/>
        </w:rPr>
        <w:t>按国办发〔2023〕24号等文件定义，平时服务民生运营、急时快速转换为应急保障功能的复合型公共设施，核心是</w:t>
      </w:r>
      <w:r>
        <w:rPr>
          <w:rFonts w:hint="eastAsia"/>
          <w:rtl w:val="0"/>
          <w:lang w:val="en-US" w:eastAsia="zh-CN"/>
        </w:rPr>
        <w:t>“</w:t>
      </w:r>
      <w:r>
        <w:rPr>
          <w:rFonts w:hint="default"/>
          <w:rtl w:val="0"/>
          <w:lang w:val="en-US" w:eastAsia="zh-CN"/>
        </w:rPr>
        <w:t>功能兼容+快速转换+弹性设计</w:t>
      </w:r>
      <w:r>
        <w:rPr>
          <w:rFonts w:hint="eastAsia"/>
          <w:rtl w:val="0"/>
          <w:lang w:val="en-US" w:eastAsia="zh-CN"/>
        </w:rPr>
        <w:t>”</w:t>
      </w:r>
      <w:r>
        <w:rPr>
          <w:rFonts w:hint="default"/>
          <w:rtl w:val="0"/>
          <w:lang w:val="en-US" w:eastAsia="zh-CN"/>
        </w:rPr>
        <w:t>，兼顾日常效益与应急能力，是提升城市韧性的关键抓手。</w:t>
      </w:r>
    </w:p>
    <w:p w14:paraId="796C82C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default" w:ascii="黑体" w:hAnsi="黑体" w:eastAsia="黑体" w:cs="黑体"/>
          <w:rtl w:val="0"/>
          <w:lang w:val="en-US" w:eastAsia="zh-CN"/>
        </w:rPr>
        <w:t>城市仓：</w:t>
      </w:r>
      <w:r>
        <w:rPr>
          <w:rFonts w:hint="default"/>
          <w:rtl w:val="0"/>
          <w:lang w:val="en-US" w:eastAsia="zh-CN"/>
        </w:rPr>
        <w:t>是布局在城市建成区或近郊、靠近消费端的紧凑型仓储与履约节点，核心价值是缩短</w:t>
      </w:r>
      <w:r>
        <w:rPr>
          <w:rFonts w:hint="eastAsia"/>
          <w:rtl w:val="0"/>
          <w:lang w:val="en-US" w:eastAsia="zh-CN"/>
        </w:rPr>
        <w:t>“</w:t>
      </w:r>
      <w:r>
        <w:rPr>
          <w:rFonts w:hint="default"/>
          <w:rtl w:val="0"/>
          <w:lang w:val="en-US" w:eastAsia="zh-CN"/>
        </w:rPr>
        <w:t>最后一公里</w:t>
      </w:r>
      <w:r>
        <w:rPr>
          <w:rFonts w:hint="eastAsia"/>
          <w:rtl w:val="0"/>
          <w:lang w:val="en-US" w:eastAsia="zh-CN"/>
        </w:rPr>
        <w:t>”</w:t>
      </w:r>
      <w:r>
        <w:rPr>
          <w:rFonts w:hint="default"/>
          <w:rtl w:val="0"/>
          <w:lang w:val="en-US" w:eastAsia="zh-CN"/>
        </w:rPr>
        <w:t>配送距离、支撑即时/当日达，适配电商、即时零售与城市配送需求。</w:t>
      </w:r>
    </w:p>
    <w:p w14:paraId="174ED07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default" w:ascii="黑体" w:hAnsi="黑体" w:eastAsia="黑体" w:cs="黑体"/>
          <w:rtl w:val="0"/>
          <w:lang w:val="en-US" w:eastAsia="zh-CN"/>
        </w:rPr>
        <w:t>无界工厂：</w:t>
      </w:r>
      <w:r>
        <w:rPr>
          <w:rFonts w:hint="default"/>
          <w:lang w:eastAsia="zh-CN"/>
        </w:rPr>
        <w:t>是数据驱动、打破内外部边界的新型智能工厂，核心是</w:t>
      </w:r>
      <w:r>
        <w:rPr>
          <w:rFonts w:hint="eastAsia"/>
          <w:lang w:eastAsia="zh-CN"/>
        </w:rPr>
        <w:t>“</w:t>
      </w:r>
      <w:r>
        <w:rPr>
          <w:rFonts w:hint="default"/>
          <w:lang w:eastAsia="zh-CN"/>
        </w:rPr>
        <w:t>信息/产线/组织/产业无界</w:t>
      </w:r>
      <w:r>
        <w:rPr>
          <w:rFonts w:hint="eastAsia"/>
          <w:lang w:eastAsia="zh-CN"/>
        </w:rPr>
        <w:t>”</w:t>
      </w:r>
      <w:r>
        <w:rPr>
          <w:rFonts w:hint="default"/>
          <w:lang w:eastAsia="zh-CN"/>
        </w:rPr>
        <w:t>，以统一数字大脑统筹全要素，实现柔性快反、跨链协同与价值重构，是新质生产力在制造端的典型载体。</w:t>
      </w:r>
    </w:p>
    <w:p w14:paraId="1EF6498E">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default" w:ascii="黑体" w:hAnsi="黑体" w:eastAsia="黑体" w:cs="黑体"/>
          <w:rtl w:val="0"/>
          <w:lang w:val="en-US" w:eastAsia="zh-CN"/>
        </w:rPr>
        <w:t>低空经济：</w:t>
      </w:r>
      <w:r>
        <w:rPr>
          <w:rFonts w:hint="default"/>
          <w:lang w:eastAsia="zh-CN"/>
        </w:rPr>
        <w:t>是以1000米以下空域为</w:t>
      </w:r>
      <w:r>
        <w:rPr>
          <w:rFonts w:hint="default"/>
          <w:rtl w:val="0"/>
          <w:lang w:val="en-US" w:eastAsia="zh-CN"/>
        </w:rPr>
        <w:t>主要活动范围，以无人机、通用航空、城市空中交通（UAM）等</w:t>
      </w:r>
      <w:r>
        <w:rPr>
          <w:rFonts w:hint="default"/>
          <w:lang w:eastAsia="zh-CN"/>
        </w:rPr>
        <w:t>低空飞行活动为牵引，</w:t>
      </w:r>
      <w:r>
        <w:rPr>
          <w:rFonts w:hint="default"/>
          <w:rtl w:val="0"/>
          <w:lang w:val="en-US" w:eastAsia="zh-CN"/>
        </w:rPr>
        <w:t>融合先进制造、信息技术、新能源等技术的综合性经济形态，是</w:t>
      </w:r>
      <w:r>
        <w:rPr>
          <w:rFonts w:hint="default"/>
          <w:lang w:eastAsia="zh-CN"/>
        </w:rPr>
        <w:t>带动制造、运营、保障与服务全链融合的新质生产力典型形态。</w:t>
      </w:r>
    </w:p>
    <w:p w14:paraId="54E3032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default" w:ascii="黑体" w:hAnsi="黑体" w:eastAsia="黑体" w:cs="黑体"/>
          <w:rtl w:val="0"/>
          <w:lang w:val="en-US" w:eastAsia="zh-CN"/>
        </w:rPr>
        <w:t>虚拟电厂：</w:t>
      </w:r>
      <w:r>
        <w:rPr>
          <w:rFonts w:hint="default"/>
          <w:lang w:val="en-US" w:eastAsia="zh-CN"/>
        </w:rPr>
        <w:t>是以数字技术聚合</w:t>
      </w:r>
      <w:r>
        <w:rPr>
          <w:rFonts w:hint="eastAsia"/>
          <w:lang w:val="en-US" w:eastAsia="zh-CN"/>
        </w:rPr>
        <w:t>“</w:t>
      </w:r>
      <w:r>
        <w:rPr>
          <w:rFonts w:hint="default"/>
          <w:lang w:val="en-US" w:eastAsia="zh-CN"/>
        </w:rPr>
        <w:t>源网荷储</w:t>
      </w:r>
      <w:r>
        <w:rPr>
          <w:rFonts w:hint="eastAsia"/>
          <w:lang w:val="en-US" w:eastAsia="zh-CN"/>
        </w:rPr>
        <w:t>”</w:t>
      </w:r>
      <w:r>
        <w:rPr>
          <w:rFonts w:hint="default"/>
          <w:lang w:val="en-US" w:eastAsia="zh-CN"/>
        </w:rPr>
        <w:t>分散资源、统一调度并参与电网与市场的智能协调系统，核心是</w:t>
      </w:r>
      <w:r>
        <w:rPr>
          <w:rFonts w:hint="eastAsia"/>
          <w:lang w:val="en-US" w:eastAsia="zh-CN"/>
        </w:rPr>
        <w:t>“</w:t>
      </w:r>
      <w:r>
        <w:rPr>
          <w:rFonts w:hint="default"/>
          <w:lang w:val="en-US" w:eastAsia="zh-CN"/>
        </w:rPr>
        <w:t>聚合+智能+协同</w:t>
      </w:r>
      <w:r>
        <w:rPr>
          <w:rFonts w:hint="eastAsia"/>
          <w:lang w:val="en-US" w:eastAsia="zh-CN"/>
        </w:rPr>
        <w:t>”</w:t>
      </w:r>
      <w:r>
        <w:rPr>
          <w:rFonts w:hint="default"/>
          <w:lang w:val="en-US" w:eastAsia="zh-CN"/>
        </w:rPr>
        <w:t>，能灵活提供调峰/调频/备用与现货交易服务，是新型电力系统的</w:t>
      </w:r>
      <w:r>
        <w:rPr>
          <w:rFonts w:hint="eastAsia"/>
          <w:lang w:val="en-US" w:eastAsia="zh-CN"/>
        </w:rPr>
        <w:t>“</w:t>
      </w:r>
      <w:r>
        <w:rPr>
          <w:rFonts w:hint="default"/>
          <w:lang w:val="en-US" w:eastAsia="zh-CN"/>
        </w:rPr>
        <w:t>柔性调节中枢</w:t>
      </w:r>
      <w:r>
        <w:rPr>
          <w:rFonts w:hint="eastAsia"/>
          <w:lang w:val="en-US" w:eastAsia="zh-CN"/>
        </w:rPr>
        <w:t>”</w:t>
      </w:r>
      <w:r>
        <w:rPr>
          <w:rFonts w:hint="default"/>
          <w:lang w:val="en-US" w:eastAsia="zh-CN"/>
        </w:rPr>
        <w:t>与新质生产力在能源端的典型应用。</w:t>
      </w:r>
    </w:p>
    <w:p w14:paraId="023C2E5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黑体" w:hAnsi="黑体" w:eastAsia="黑体" w:cs="黑体"/>
          <w:rtl w:val="0"/>
          <w:lang w:val="en-US" w:eastAsia="zh-CN"/>
        </w:rPr>
        <w:t>首发经济：</w:t>
      </w:r>
      <w:r>
        <w:rPr>
          <w:rFonts w:hint="default"/>
          <w:lang w:val="en-US" w:eastAsia="zh-CN"/>
        </w:rPr>
        <w:t>是指企业发布新产品，推出新业态、新模式、新服务、新技术，开设首店等经济活动的总称，涵盖了企业从产品或服务的首次发布、首次展出到首次落地开设门店、首次设立研发中心，再到设立企业总部的链式发展全过程。</w:t>
      </w:r>
    </w:p>
    <w:p w14:paraId="6EA2C78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default" w:ascii="黑体" w:hAnsi="黑体" w:eastAsia="黑体" w:cs="黑体"/>
          <w:rtl w:val="0"/>
          <w:lang w:val="en-US" w:eastAsia="zh-CN"/>
        </w:rPr>
        <w:t>银发经济：</w:t>
      </w:r>
      <w:r>
        <w:rPr>
          <w:rFonts w:hint="default"/>
          <w:lang w:val="en-US" w:eastAsia="zh-CN"/>
        </w:rPr>
        <w:t>是指随着社会老龄化而产生的专门为银发人群消费服务的产业。</w:t>
      </w:r>
    </w:p>
    <w:p w14:paraId="3B260521">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eastAsia" w:ascii="黑体" w:hAnsi="黑体" w:eastAsia="黑体" w:cs="黑体"/>
          <w:rtl w:val="0"/>
          <w:lang w:val="en-US" w:eastAsia="zh-CN"/>
        </w:rPr>
        <w:t>“</w:t>
      </w:r>
      <w:r>
        <w:rPr>
          <w:rFonts w:hint="default" w:ascii="黑体" w:hAnsi="黑体" w:eastAsia="黑体" w:cs="黑体"/>
          <w:rtl w:val="0"/>
          <w:lang w:val="en-US" w:eastAsia="zh-CN"/>
        </w:rPr>
        <w:t>八纵六横</w:t>
      </w:r>
      <w:r>
        <w:rPr>
          <w:rFonts w:hint="eastAsia" w:ascii="黑体" w:hAnsi="黑体" w:eastAsia="黑体" w:cs="黑体"/>
          <w:rtl w:val="0"/>
          <w:lang w:val="en-US" w:eastAsia="zh-CN"/>
        </w:rPr>
        <w:t>”</w:t>
      </w:r>
      <w:r>
        <w:rPr>
          <w:rFonts w:hint="default" w:ascii="黑体" w:hAnsi="黑体" w:eastAsia="黑体" w:cs="黑体"/>
          <w:rtl w:val="0"/>
          <w:lang w:val="en-US" w:eastAsia="zh-CN"/>
        </w:rPr>
        <w:t>普通公路网：</w:t>
      </w:r>
      <w:r>
        <w:rPr>
          <w:rFonts w:hint="default"/>
          <w:lang w:val="en-US" w:eastAsia="zh-CN"/>
        </w:rPr>
        <w:t>八纵指</w:t>
      </w:r>
      <w:r>
        <w:rPr>
          <w:rFonts w:hint="default"/>
          <w:rtl w:val="0"/>
          <w:lang w:val="en-US" w:eastAsia="zh-CN"/>
        </w:rPr>
        <w:t>铺镇许寨</w:t>
      </w:r>
      <w:r>
        <w:rPr>
          <w:rFonts w:hint="eastAsia"/>
          <w:rtl w:val="0"/>
          <w:lang w:val="en-US" w:eastAsia="zh-CN"/>
        </w:rPr>
        <w:t>——</w:t>
      </w:r>
      <w:r>
        <w:rPr>
          <w:rFonts w:hint="default"/>
          <w:rtl w:val="0"/>
          <w:lang w:val="en-US" w:eastAsia="zh-CN"/>
        </w:rPr>
        <w:t>汉王繁荣公路、铺镇联丰</w:t>
      </w:r>
      <w:r>
        <w:rPr>
          <w:rFonts w:hint="eastAsia"/>
          <w:rtl w:val="0"/>
          <w:lang w:val="en-US" w:eastAsia="zh-CN"/>
        </w:rPr>
        <w:t>——</w:t>
      </w:r>
      <w:r>
        <w:rPr>
          <w:rFonts w:hint="default"/>
          <w:rtl w:val="0"/>
          <w:lang w:val="en-US" w:eastAsia="zh-CN"/>
        </w:rPr>
        <w:t>汉王镇汉明村公路、铺镇大梁</w:t>
      </w:r>
      <w:r>
        <w:rPr>
          <w:rFonts w:hint="eastAsia"/>
          <w:rtl w:val="0"/>
          <w:lang w:val="en-US" w:eastAsia="zh-CN"/>
        </w:rPr>
        <w:t>——</w:t>
      </w:r>
      <w:r>
        <w:rPr>
          <w:rFonts w:hint="default"/>
          <w:rtl w:val="0"/>
          <w:lang w:val="en-US" w:eastAsia="zh-CN"/>
        </w:rPr>
        <w:t>武乡东村公路、汉中</w:t>
      </w:r>
      <w:r>
        <w:rPr>
          <w:rFonts w:hint="eastAsia"/>
          <w:rtl w:val="0"/>
          <w:lang w:val="en-US" w:eastAsia="zh-CN"/>
        </w:rPr>
        <w:t>——</w:t>
      </w:r>
      <w:r>
        <w:rPr>
          <w:rFonts w:hint="default"/>
          <w:rtl w:val="0"/>
          <w:lang w:val="en-US" w:eastAsia="zh-CN"/>
        </w:rPr>
        <w:t>石堰寺公路、周寨</w:t>
      </w:r>
      <w:r>
        <w:rPr>
          <w:rFonts w:hint="eastAsia"/>
          <w:rtl w:val="0"/>
          <w:lang w:val="en-US" w:eastAsia="zh-CN"/>
        </w:rPr>
        <w:t>——</w:t>
      </w:r>
      <w:r>
        <w:rPr>
          <w:rFonts w:hint="default"/>
          <w:rtl w:val="0"/>
          <w:lang w:val="en-US" w:eastAsia="zh-CN"/>
        </w:rPr>
        <w:t>孤山公路、244国道汉台段，六横指315省道汉王永久</w:t>
      </w:r>
      <w:r>
        <w:rPr>
          <w:rFonts w:hint="eastAsia"/>
          <w:rtl w:val="0"/>
          <w:lang w:val="en-US" w:eastAsia="zh-CN"/>
        </w:rPr>
        <w:t>——</w:t>
      </w:r>
      <w:r>
        <w:rPr>
          <w:rFonts w:hint="default"/>
          <w:rtl w:val="0"/>
          <w:lang w:val="en-US" w:eastAsia="zh-CN"/>
        </w:rPr>
        <w:t>河东店周寨村公路、汉王镇红星村</w:t>
      </w:r>
      <w:r>
        <w:rPr>
          <w:rFonts w:hint="eastAsia"/>
          <w:rtl w:val="0"/>
          <w:lang w:val="en-US" w:eastAsia="zh-CN"/>
        </w:rPr>
        <w:t>——</w:t>
      </w:r>
      <w:r>
        <w:rPr>
          <w:rFonts w:hint="default"/>
          <w:rtl w:val="0"/>
          <w:lang w:val="en-US" w:eastAsia="zh-CN"/>
        </w:rPr>
        <w:t>褒河火车站公路、徐望镇吴家营村</w:t>
      </w:r>
      <w:r>
        <w:rPr>
          <w:rFonts w:hint="eastAsia"/>
          <w:rtl w:val="0"/>
          <w:lang w:val="en-US" w:eastAsia="zh-CN"/>
        </w:rPr>
        <w:t>——</w:t>
      </w:r>
      <w:r>
        <w:rPr>
          <w:rFonts w:hint="default"/>
          <w:rtl w:val="0"/>
          <w:lang w:val="en-US" w:eastAsia="zh-CN"/>
        </w:rPr>
        <w:t>宗营韩塘公路、108国道汉台段、西汉高速东连接线汉江大桥</w:t>
      </w:r>
      <w:r>
        <w:rPr>
          <w:rFonts w:hint="eastAsia"/>
          <w:rtl w:val="0"/>
          <w:lang w:val="en-US" w:eastAsia="zh-CN"/>
        </w:rPr>
        <w:t>——</w:t>
      </w:r>
      <w:r>
        <w:rPr>
          <w:rFonts w:hint="default"/>
          <w:rtl w:val="0"/>
          <w:lang w:val="en-US" w:eastAsia="zh-CN"/>
        </w:rPr>
        <w:t>龙江办孤山公路、铺镇许寨村</w:t>
      </w:r>
      <w:r>
        <w:rPr>
          <w:rFonts w:hint="eastAsia"/>
          <w:rtl w:val="0"/>
          <w:lang w:val="en-US" w:eastAsia="zh-CN"/>
        </w:rPr>
        <w:t>——</w:t>
      </w:r>
      <w:r>
        <w:rPr>
          <w:rFonts w:hint="default"/>
          <w:rtl w:val="0"/>
          <w:lang w:val="en-US" w:eastAsia="zh-CN"/>
        </w:rPr>
        <w:t>龙江办新营公路</w:t>
      </w:r>
    </w:p>
    <w:p w14:paraId="52A25F2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eastAsia" w:ascii="黑体" w:hAnsi="黑体" w:eastAsia="黑体" w:cs="黑体"/>
          <w:rtl w:val="0"/>
          <w:lang w:val="en-US" w:eastAsia="zh-CN"/>
        </w:rPr>
        <w:t>“</w:t>
      </w:r>
      <w:r>
        <w:rPr>
          <w:rFonts w:hint="default" w:ascii="黑体" w:hAnsi="黑体" w:eastAsia="黑体" w:cs="黑体"/>
          <w:rtl w:val="0"/>
          <w:lang w:val="en-US" w:eastAsia="zh-CN"/>
        </w:rPr>
        <w:t>两个毫不动摇</w:t>
      </w:r>
      <w:r>
        <w:rPr>
          <w:rFonts w:hint="eastAsia" w:ascii="黑体" w:hAnsi="黑体" w:eastAsia="黑体" w:cs="黑体"/>
          <w:rtl w:val="0"/>
          <w:lang w:val="en-US" w:eastAsia="zh-CN"/>
        </w:rPr>
        <w:t>”</w:t>
      </w:r>
      <w:r>
        <w:rPr>
          <w:rFonts w:hint="default" w:ascii="黑体" w:hAnsi="黑体" w:eastAsia="黑体" w:cs="黑体"/>
          <w:rtl w:val="0"/>
          <w:lang w:val="en-US" w:eastAsia="zh-CN"/>
        </w:rPr>
        <w:t>：</w:t>
      </w:r>
      <w:r>
        <w:rPr>
          <w:rFonts w:hint="default"/>
          <w:lang w:val="en-US" w:eastAsia="zh-CN"/>
        </w:rPr>
        <w:t>是指必须毫不动摇地巩固和发展公有制经济，必须毫不动摇地鼓励、支持和引导非公有制经济发展。</w:t>
      </w:r>
    </w:p>
    <w:p w14:paraId="2B899E5C">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lang w:val="en-US" w:eastAsia="zh-CN"/>
        </w:rPr>
      </w:pPr>
      <w:r>
        <w:rPr>
          <w:rFonts w:hint="eastAsia" w:ascii="黑体" w:hAnsi="黑体" w:eastAsia="黑体" w:cs="黑体"/>
          <w:rtl w:val="0"/>
          <w:lang w:val="en-US" w:eastAsia="zh-CN"/>
        </w:rPr>
        <w:t>“</w:t>
      </w:r>
      <w:r>
        <w:rPr>
          <w:rFonts w:hint="default" w:ascii="黑体" w:hAnsi="黑体" w:eastAsia="黑体" w:cs="黑体"/>
          <w:rtl w:val="0"/>
          <w:lang w:val="en-US" w:eastAsia="zh-CN"/>
        </w:rPr>
        <w:t>三张清单</w:t>
      </w:r>
      <w:r>
        <w:rPr>
          <w:rFonts w:hint="eastAsia" w:ascii="黑体" w:hAnsi="黑体" w:eastAsia="黑体" w:cs="黑体"/>
          <w:rtl w:val="0"/>
          <w:lang w:val="en-US" w:eastAsia="zh-CN"/>
        </w:rPr>
        <w:t>”</w:t>
      </w:r>
      <w:r>
        <w:rPr>
          <w:rFonts w:hint="default" w:ascii="黑体" w:hAnsi="黑体" w:eastAsia="黑体" w:cs="黑体"/>
          <w:rtl w:val="0"/>
          <w:lang w:val="en-US" w:eastAsia="zh-CN"/>
        </w:rPr>
        <w:t>：</w:t>
      </w:r>
      <w:r>
        <w:rPr>
          <w:rFonts w:hint="default"/>
          <w:lang w:val="en-US" w:eastAsia="zh-CN"/>
        </w:rPr>
        <w:t>是省委、省政府部署的</w:t>
      </w:r>
      <w:r>
        <w:rPr>
          <w:rFonts w:hint="eastAsia"/>
          <w:lang w:val="en-US" w:eastAsia="zh-CN"/>
        </w:rPr>
        <w:t>“</w:t>
      </w:r>
      <w:r>
        <w:rPr>
          <w:rFonts w:hint="default"/>
          <w:lang w:val="en-US" w:eastAsia="zh-CN"/>
        </w:rPr>
        <w:t>十五五</w:t>
      </w:r>
      <w:r>
        <w:rPr>
          <w:rFonts w:hint="eastAsia"/>
          <w:lang w:val="en-US" w:eastAsia="zh-CN"/>
        </w:rPr>
        <w:t>”</w:t>
      </w:r>
      <w:r>
        <w:rPr>
          <w:rFonts w:hint="default"/>
          <w:lang w:val="en-US" w:eastAsia="zh-CN"/>
        </w:rPr>
        <w:t>重大项目谋划储备三张清单，2025年8月起由省发改委牵头推进，包括政策性资金项目储备清单、</w:t>
      </w:r>
      <w:r>
        <w:rPr>
          <w:rFonts w:hint="eastAsia"/>
          <w:lang w:val="en-US" w:eastAsia="zh-CN"/>
        </w:rPr>
        <w:t>“</w:t>
      </w:r>
      <w:r>
        <w:rPr>
          <w:rFonts w:hint="default"/>
          <w:lang w:val="en-US" w:eastAsia="zh-CN"/>
        </w:rPr>
        <w:t>十五五</w:t>
      </w:r>
      <w:r>
        <w:rPr>
          <w:rFonts w:hint="eastAsia"/>
          <w:lang w:val="en-US" w:eastAsia="zh-CN"/>
        </w:rPr>
        <w:t>”</w:t>
      </w:r>
      <w:r>
        <w:rPr>
          <w:rFonts w:hint="default"/>
          <w:lang w:val="en-US" w:eastAsia="zh-CN"/>
        </w:rPr>
        <w:t>专项规划项目支撑清单、重点产业链项目招引清单。</w:t>
      </w:r>
    </w:p>
    <w:p w14:paraId="0EF69CA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default" w:ascii="黑体" w:hAnsi="黑体" w:eastAsia="黑体" w:cs="黑体"/>
          <w:rtl w:val="0"/>
          <w:lang w:val="en-US" w:eastAsia="zh-CN"/>
        </w:rPr>
        <w:t>行政执法</w:t>
      </w:r>
      <w:r>
        <w:rPr>
          <w:rFonts w:hint="eastAsia" w:ascii="黑体" w:hAnsi="黑体" w:eastAsia="黑体" w:cs="黑体"/>
          <w:rtl w:val="0"/>
          <w:lang w:val="en-US" w:eastAsia="zh-CN"/>
        </w:rPr>
        <w:t>“</w:t>
      </w:r>
      <w:r>
        <w:rPr>
          <w:rFonts w:hint="default" w:ascii="黑体" w:hAnsi="黑体" w:eastAsia="黑体" w:cs="黑体"/>
          <w:rtl w:val="0"/>
          <w:lang w:val="en-US" w:eastAsia="zh-CN"/>
        </w:rPr>
        <w:t>四张清单</w:t>
      </w:r>
      <w:r>
        <w:rPr>
          <w:rFonts w:hint="eastAsia" w:ascii="黑体" w:hAnsi="黑体" w:eastAsia="黑体" w:cs="黑体"/>
          <w:rtl w:val="0"/>
          <w:lang w:val="en-US" w:eastAsia="zh-CN"/>
        </w:rPr>
        <w:t>”</w:t>
      </w:r>
      <w:r>
        <w:rPr>
          <w:rFonts w:hint="default" w:ascii="黑体" w:hAnsi="黑体" w:eastAsia="黑体" w:cs="黑体"/>
          <w:rtl w:val="0"/>
          <w:lang w:val="en-US" w:eastAsia="zh-CN"/>
        </w:rPr>
        <w:t>：</w:t>
      </w:r>
      <w:r>
        <w:rPr>
          <w:rFonts w:hint="default"/>
          <w:rtl w:val="0"/>
          <w:lang w:val="en-US" w:eastAsia="zh-CN"/>
        </w:rPr>
        <w:t>指在行政执法过程中，为推行包容审慎监管、优化营商环境，对轻微违法行为依法不予处罚、减轻处罚、从轻处罚以及免予实施行政强制措施的四类事项清单。</w:t>
      </w:r>
    </w:p>
    <w:p w14:paraId="104108BC">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default" w:ascii="黑体" w:hAnsi="黑体" w:eastAsia="黑体" w:cs="黑体"/>
          <w:rtl w:val="0"/>
          <w:lang w:val="en-US" w:eastAsia="zh-CN"/>
        </w:rPr>
        <w:t>行政执法</w:t>
      </w:r>
      <w:r>
        <w:rPr>
          <w:rFonts w:hint="eastAsia" w:ascii="黑体" w:hAnsi="黑体" w:eastAsia="黑体" w:cs="黑体"/>
          <w:rtl w:val="0"/>
          <w:lang w:val="en-US" w:eastAsia="zh-CN"/>
        </w:rPr>
        <w:t>“</w:t>
      </w:r>
      <w:r>
        <w:rPr>
          <w:rFonts w:hint="default" w:ascii="黑体" w:hAnsi="黑体" w:eastAsia="黑体" w:cs="黑体"/>
          <w:rtl w:val="0"/>
          <w:lang w:val="en-US" w:eastAsia="zh-CN"/>
        </w:rPr>
        <w:t>三项制度</w:t>
      </w:r>
      <w:r>
        <w:rPr>
          <w:rFonts w:hint="eastAsia" w:ascii="黑体" w:hAnsi="黑体" w:eastAsia="黑体" w:cs="黑体"/>
          <w:rtl w:val="0"/>
          <w:lang w:val="en-US" w:eastAsia="zh-CN"/>
        </w:rPr>
        <w:t>”</w:t>
      </w:r>
      <w:r>
        <w:rPr>
          <w:rFonts w:hint="default" w:ascii="黑体" w:hAnsi="黑体" w:eastAsia="黑体" w:cs="黑体"/>
          <w:rtl w:val="0"/>
          <w:lang w:val="en-US" w:eastAsia="zh-CN"/>
        </w:rPr>
        <w:t>：</w:t>
      </w:r>
      <w:r>
        <w:rPr>
          <w:rFonts w:hint="default"/>
          <w:rtl w:val="0"/>
          <w:lang w:val="en-US" w:eastAsia="zh-CN"/>
        </w:rPr>
        <w:t>指行政执法公示制度、执法全过程记录制度、重大执法决定法制审核制度。</w:t>
      </w:r>
    </w:p>
    <w:p w14:paraId="0927026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default" w:ascii="黑体" w:hAnsi="黑体" w:eastAsia="黑体" w:cs="黑体"/>
          <w:rtl w:val="0"/>
          <w:lang w:val="en-US" w:eastAsia="zh-CN"/>
        </w:rPr>
        <w:t>15分钟社区生活圈：</w:t>
      </w:r>
      <w:r>
        <w:rPr>
          <w:rFonts w:hint="default"/>
          <w:rtl w:val="0"/>
          <w:lang w:val="en-US" w:eastAsia="zh-CN"/>
        </w:rPr>
        <w:t>又称</w:t>
      </w:r>
      <w:r>
        <w:rPr>
          <w:rFonts w:hint="eastAsia"/>
          <w:rtl w:val="0"/>
          <w:lang w:val="en-US" w:eastAsia="zh-CN"/>
        </w:rPr>
        <w:t>“</w:t>
      </w:r>
      <w:r>
        <w:rPr>
          <w:rFonts w:hint="default"/>
          <w:rtl w:val="0"/>
          <w:lang w:val="en-US" w:eastAsia="zh-CN"/>
        </w:rPr>
        <w:t>一刻钟便民生活圈</w:t>
      </w:r>
      <w:r>
        <w:rPr>
          <w:rFonts w:hint="eastAsia"/>
          <w:rtl w:val="0"/>
          <w:lang w:val="en-US" w:eastAsia="zh-CN"/>
        </w:rPr>
        <w:t>”</w:t>
      </w:r>
      <w:r>
        <w:rPr>
          <w:rFonts w:hint="default"/>
          <w:rtl w:val="0"/>
          <w:lang w:val="en-US" w:eastAsia="zh-CN"/>
        </w:rPr>
        <w:t>，是以家为中心、步行15分钟可达为半径（约3平方公里，服务5万</w:t>
      </w:r>
      <w:r>
        <w:rPr>
          <w:rFonts w:hint="eastAsia"/>
          <w:rtl w:val="0"/>
          <w:lang w:val="en-US" w:eastAsia="zh-CN"/>
        </w:rPr>
        <w:t>—</w:t>
      </w:r>
      <w:r>
        <w:rPr>
          <w:rFonts w:hint="default"/>
          <w:rtl w:val="0"/>
          <w:lang w:val="en-US" w:eastAsia="zh-CN"/>
        </w:rPr>
        <w:t>10万人），集成商业、教育、医疗、养老、文体、交通等全维服务的社区级生活服务体系，目标是</w:t>
      </w:r>
      <w:r>
        <w:rPr>
          <w:rFonts w:hint="eastAsia"/>
          <w:rtl w:val="0"/>
          <w:lang w:val="en-US" w:eastAsia="zh-CN"/>
        </w:rPr>
        <w:t>“</w:t>
      </w:r>
      <w:r>
        <w:rPr>
          <w:rFonts w:hint="default"/>
          <w:rtl w:val="0"/>
          <w:lang w:val="en-US" w:eastAsia="zh-CN"/>
        </w:rPr>
        <w:t>小需求不出社区、大服务不超15分钟</w:t>
      </w:r>
      <w:r>
        <w:rPr>
          <w:rFonts w:hint="eastAsia"/>
          <w:rtl w:val="0"/>
          <w:lang w:val="en-US" w:eastAsia="zh-CN"/>
        </w:rPr>
        <w:t>”</w:t>
      </w:r>
      <w:r>
        <w:rPr>
          <w:rFonts w:hint="default"/>
          <w:rtl w:val="0"/>
          <w:lang w:val="en-US" w:eastAsia="zh-CN"/>
        </w:rPr>
        <w:t>，是城市更新与基层服务升级的核心载体。</w:t>
      </w:r>
    </w:p>
    <w:p w14:paraId="1D6F669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default" w:ascii="黑体" w:hAnsi="黑体" w:eastAsia="黑体" w:cs="黑体"/>
          <w:rtl w:val="0"/>
          <w:lang w:val="en-US" w:eastAsia="zh-CN"/>
        </w:rPr>
        <w:t>两品一标：</w:t>
      </w:r>
      <w:r>
        <w:rPr>
          <w:rFonts w:hint="default"/>
          <w:lang w:eastAsia="zh-CN"/>
        </w:rPr>
        <w:t>对我国优质农产品公共品牌的统称，包含绿色食品、有机农产品、农产品地理标志。</w:t>
      </w:r>
    </w:p>
    <w:p w14:paraId="51ABBEF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eastAsia" w:ascii="黑体" w:hAnsi="黑体" w:eastAsia="黑体" w:cs="黑体"/>
          <w:rtl w:val="0"/>
          <w:lang w:val="en-US" w:eastAsia="zh-CN"/>
        </w:rPr>
        <w:t>“</w:t>
      </w:r>
      <w:r>
        <w:rPr>
          <w:rFonts w:hint="default" w:ascii="黑体" w:hAnsi="黑体" w:eastAsia="黑体" w:cs="黑体"/>
          <w:rtl w:val="0"/>
          <w:lang w:val="en-US" w:eastAsia="zh-CN"/>
        </w:rPr>
        <w:t>三变改革</w:t>
      </w:r>
      <w:r>
        <w:rPr>
          <w:rFonts w:hint="eastAsia" w:ascii="黑体" w:hAnsi="黑体" w:eastAsia="黑体" w:cs="黑体"/>
          <w:rtl w:val="0"/>
          <w:lang w:val="en-US" w:eastAsia="zh-CN"/>
        </w:rPr>
        <w:t>”</w:t>
      </w:r>
      <w:r>
        <w:rPr>
          <w:rFonts w:hint="default" w:ascii="黑体" w:hAnsi="黑体" w:eastAsia="黑体" w:cs="黑体"/>
          <w:rtl w:val="0"/>
          <w:lang w:val="en-US" w:eastAsia="zh-CN"/>
        </w:rPr>
        <w:t>：</w:t>
      </w:r>
      <w:r>
        <w:rPr>
          <w:rFonts w:hint="default"/>
          <w:rtl w:val="0"/>
          <w:lang w:val="en-US" w:eastAsia="zh-CN"/>
        </w:rPr>
        <w:t>即资源变资产、资金变股金、农民变股东。</w:t>
      </w:r>
    </w:p>
    <w:p w14:paraId="690AB77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eastAsia" w:ascii="黑体" w:hAnsi="黑体" w:eastAsia="黑体" w:cs="黑体"/>
          <w:rtl w:val="0"/>
          <w:lang w:val="en-US" w:eastAsia="zh-CN"/>
        </w:rPr>
        <w:t>“</w:t>
      </w:r>
      <w:r>
        <w:rPr>
          <w:rFonts w:hint="default" w:ascii="黑体" w:hAnsi="黑体" w:eastAsia="黑体" w:cs="黑体"/>
          <w:rtl w:val="0"/>
          <w:lang w:val="en-US" w:eastAsia="zh-CN"/>
        </w:rPr>
        <w:t>三资</w:t>
      </w:r>
      <w:r>
        <w:rPr>
          <w:rFonts w:hint="eastAsia" w:ascii="黑体" w:hAnsi="黑体" w:eastAsia="黑体" w:cs="黑体"/>
          <w:rtl w:val="0"/>
          <w:lang w:val="en-US" w:eastAsia="zh-CN"/>
        </w:rPr>
        <w:t>”</w:t>
      </w:r>
      <w:r>
        <w:rPr>
          <w:rFonts w:hint="default" w:ascii="黑体" w:hAnsi="黑体" w:eastAsia="黑体" w:cs="黑体"/>
          <w:rtl w:val="0"/>
          <w:lang w:val="en-US" w:eastAsia="zh-CN"/>
        </w:rPr>
        <w:t>管理平台：</w:t>
      </w:r>
      <w:r>
        <w:rPr>
          <w:rFonts w:hint="default"/>
          <w:rtl w:val="0"/>
          <w:lang w:val="en-US" w:eastAsia="zh-CN"/>
        </w:rPr>
        <w:t>以集体资金、资产、资源使用监管为核心，将农村集体经济组织资金结算、资源共享、资产盘活等账务结算、资金划拨、资金监管等业务纳入软件平台统一管理，推进农村集体经济组织财务规范化，保障广大农民集体权益。</w:t>
      </w:r>
    </w:p>
    <w:p w14:paraId="21DDDCAE">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eastAsia" w:ascii="黑体" w:hAnsi="黑体" w:eastAsia="黑体" w:cs="黑体"/>
          <w:rtl w:val="0"/>
          <w:lang w:val="en-US" w:eastAsia="zh-CN"/>
        </w:rPr>
        <w:t>“</w:t>
      </w:r>
      <w:r>
        <w:rPr>
          <w:rFonts w:hint="default" w:ascii="黑体" w:hAnsi="黑体" w:eastAsia="黑体" w:cs="黑体"/>
          <w:rtl w:val="0"/>
          <w:lang w:val="en-US" w:eastAsia="zh-CN"/>
        </w:rPr>
        <w:t>两不愁三保障</w:t>
      </w:r>
      <w:r>
        <w:rPr>
          <w:rFonts w:hint="eastAsia" w:ascii="黑体" w:hAnsi="黑体" w:eastAsia="黑体" w:cs="黑体"/>
          <w:rtl w:val="0"/>
          <w:lang w:val="en-US" w:eastAsia="zh-CN"/>
        </w:rPr>
        <w:t>”</w:t>
      </w:r>
      <w:r>
        <w:rPr>
          <w:rFonts w:hint="default" w:ascii="黑体" w:hAnsi="黑体" w:eastAsia="黑体" w:cs="黑体"/>
          <w:rtl w:val="0"/>
          <w:lang w:val="en-US" w:eastAsia="zh-CN"/>
        </w:rPr>
        <w:t>：</w:t>
      </w:r>
      <w:r>
        <w:rPr>
          <w:rFonts w:hint="default"/>
          <w:lang w:eastAsia="zh-CN"/>
        </w:rPr>
        <w:t>即不愁吃、不愁穿，义务教育、基本医疗、住房安全有保障。</w:t>
      </w:r>
    </w:p>
    <w:p w14:paraId="067B928E">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default" w:ascii="黑体" w:hAnsi="黑体" w:eastAsia="黑体" w:cs="黑体"/>
          <w:rtl w:val="0"/>
          <w:lang w:val="de-DE" w:eastAsia="de-DE"/>
        </w:rPr>
        <w:t>秦岭</w:t>
      </w:r>
      <w:r>
        <w:rPr>
          <w:rFonts w:hint="eastAsia" w:ascii="黑体" w:hAnsi="黑体" w:eastAsia="黑体" w:cs="黑体"/>
          <w:rtl w:val="0"/>
          <w:lang w:val="de-DE" w:eastAsia="zh-CN"/>
        </w:rPr>
        <w:t>“</w:t>
      </w:r>
      <w:r>
        <w:rPr>
          <w:rFonts w:hint="default" w:ascii="黑体" w:hAnsi="黑体" w:eastAsia="黑体" w:cs="黑体"/>
          <w:rtl w:val="0"/>
          <w:lang w:val="de-DE" w:eastAsia="de-DE"/>
        </w:rPr>
        <w:t>五乱</w:t>
      </w:r>
      <w:r>
        <w:rPr>
          <w:rFonts w:hint="eastAsia" w:ascii="黑体" w:hAnsi="黑体" w:eastAsia="黑体" w:cs="黑体"/>
          <w:rtl w:val="0"/>
          <w:lang w:val="de-DE" w:eastAsia="zh-CN"/>
        </w:rPr>
        <w:t>”</w:t>
      </w:r>
      <w:r>
        <w:rPr>
          <w:rFonts w:hint="default" w:ascii="黑体" w:hAnsi="黑体" w:eastAsia="黑体" w:cs="黑体"/>
          <w:rtl w:val="0"/>
          <w:lang w:val="de-DE" w:eastAsia="de-DE"/>
        </w:rPr>
        <w:t>问题</w:t>
      </w:r>
      <w:r>
        <w:rPr>
          <w:rFonts w:hint="default" w:ascii="黑体" w:hAnsi="黑体" w:eastAsia="黑体" w:cs="黑体"/>
          <w:rtl w:val="0"/>
          <w:lang w:val="en-US" w:eastAsia="zh-CN"/>
        </w:rPr>
        <w:t>：</w:t>
      </w:r>
      <w:r>
        <w:rPr>
          <w:rFonts w:hint="default"/>
          <w:rtl w:val="0"/>
          <w:lang w:val="en-US" w:eastAsia="zh-CN"/>
        </w:rPr>
        <w:t>乱砍乱伐、乱搭乱建、乱排乱放、乱采乱挖、乱捕乱猎。</w:t>
      </w:r>
    </w:p>
    <w:p w14:paraId="76A86A2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eastAsia" w:ascii="黑体" w:hAnsi="黑体" w:eastAsia="黑体" w:cs="黑体"/>
          <w:rtl w:val="0"/>
          <w:lang w:val="en-US" w:eastAsia="zh-CN"/>
        </w:rPr>
        <w:t>“</w:t>
      </w:r>
      <w:r>
        <w:rPr>
          <w:rFonts w:hint="default" w:ascii="黑体" w:hAnsi="黑体" w:eastAsia="黑体" w:cs="黑体"/>
          <w:rtl w:val="0"/>
          <w:lang w:val="en-US" w:eastAsia="zh-CN"/>
        </w:rPr>
        <w:t>一住两公</w:t>
      </w:r>
      <w:r>
        <w:rPr>
          <w:rFonts w:hint="eastAsia" w:ascii="黑体" w:hAnsi="黑体" w:eastAsia="黑体" w:cs="黑体"/>
          <w:rtl w:val="0"/>
          <w:lang w:val="en-US" w:eastAsia="zh-CN"/>
        </w:rPr>
        <w:t>”</w:t>
      </w:r>
      <w:r>
        <w:rPr>
          <w:rFonts w:hint="default" w:ascii="黑体" w:hAnsi="黑体" w:eastAsia="黑体" w:cs="黑体"/>
          <w:rtl w:val="0"/>
          <w:lang w:val="en-US" w:eastAsia="zh-CN"/>
        </w:rPr>
        <w:t>用地：</w:t>
      </w:r>
      <w:r>
        <w:rPr>
          <w:rFonts w:hint="default"/>
          <w:lang w:val="en-US" w:eastAsia="zh-CN"/>
        </w:rPr>
        <w:t>指</w:t>
      </w:r>
      <w:r>
        <w:rPr>
          <w:rFonts w:hint="default"/>
          <w:rtl w:val="0"/>
          <w:lang w:val="en-US" w:eastAsia="zh-CN"/>
        </w:rPr>
        <w:t>居住用地，公共管理与公共服务用地。</w:t>
      </w:r>
    </w:p>
    <w:p w14:paraId="63DFDB2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eastAsia" w:ascii="黑体" w:hAnsi="黑体" w:eastAsia="黑体" w:cs="黑体"/>
          <w:rtl w:val="0"/>
          <w:lang w:val="en-US" w:eastAsia="zh-CN"/>
        </w:rPr>
        <w:t>“</w:t>
      </w:r>
      <w:r>
        <w:rPr>
          <w:rFonts w:hint="default" w:ascii="黑体" w:hAnsi="黑体" w:eastAsia="黑体" w:cs="黑体"/>
          <w:rtl w:val="0"/>
          <w:lang w:val="en-US" w:eastAsia="zh-CN"/>
        </w:rPr>
        <w:t>两高</w:t>
      </w:r>
      <w:r>
        <w:rPr>
          <w:rFonts w:hint="eastAsia" w:ascii="黑体" w:hAnsi="黑体" w:eastAsia="黑体" w:cs="黑体"/>
          <w:rtl w:val="0"/>
          <w:lang w:val="en-US" w:eastAsia="zh-CN"/>
        </w:rPr>
        <w:t>”</w:t>
      </w:r>
      <w:r>
        <w:rPr>
          <w:rFonts w:hint="default" w:ascii="黑体" w:hAnsi="黑体" w:eastAsia="黑体" w:cs="黑体"/>
          <w:rtl w:val="0"/>
          <w:lang w:val="en-US" w:eastAsia="zh-CN"/>
        </w:rPr>
        <w:t>项目：</w:t>
      </w:r>
      <w:r>
        <w:rPr>
          <w:rFonts w:hint="default"/>
          <w:lang w:val="en-US" w:eastAsia="zh-CN"/>
        </w:rPr>
        <w:t>指高耗能、高排放固定资产投资项目。</w:t>
      </w:r>
    </w:p>
    <w:p w14:paraId="39702FF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default"/>
          <w:rtl w:val="0"/>
          <w:lang w:val="en-US" w:eastAsia="zh-CN"/>
        </w:rPr>
      </w:pPr>
      <w:r>
        <w:rPr>
          <w:rFonts w:hint="eastAsia" w:ascii="黑体" w:hAnsi="黑体" w:eastAsia="黑体" w:cs="黑体"/>
          <w:rtl w:val="0"/>
          <w:lang w:val="de-DE" w:eastAsia="zh-CN"/>
        </w:rPr>
        <w:t>“</w:t>
      </w:r>
      <w:r>
        <w:rPr>
          <w:rFonts w:hint="default" w:ascii="黑体" w:hAnsi="黑体" w:eastAsia="黑体" w:cs="黑体"/>
          <w:rtl w:val="0"/>
          <w:lang w:val="de-DE" w:eastAsia="zh-CN"/>
        </w:rPr>
        <w:t>1131</w:t>
      </w:r>
      <w:r>
        <w:rPr>
          <w:rFonts w:hint="eastAsia" w:ascii="黑体" w:hAnsi="黑体" w:eastAsia="黑体" w:cs="黑体"/>
          <w:rtl w:val="0"/>
          <w:lang w:val="de-DE" w:eastAsia="zh-CN"/>
        </w:rPr>
        <w:t>”</w:t>
      </w:r>
      <w:r>
        <w:rPr>
          <w:rFonts w:hint="default" w:ascii="黑体" w:hAnsi="黑体" w:eastAsia="黑体" w:cs="黑体"/>
          <w:rtl w:val="0"/>
          <w:lang w:val="de-DE" w:eastAsia="zh-CN"/>
        </w:rPr>
        <w:t>实名服务机制：</w:t>
      </w:r>
      <w:r>
        <w:rPr>
          <w:rFonts w:hint="default"/>
          <w:lang w:val="en-US" w:eastAsia="zh-CN"/>
        </w:rPr>
        <w:t>是</w:t>
      </w:r>
      <w:r>
        <w:rPr>
          <w:rFonts w:hint="default"/>
          <w:rtl w:val="0"/>
          <w:lang w:val="en-US" w:eastAsia="zh-CN"/>
        </w:rPr>
        <w:t>面向离校未就业高校毕业生的实名制就业帮扶机制，由公共就业人才服务机构提供，包含1次政策宣介、1次职业指导、3次岗位推介、1次技能培训或就业见习机会。</w:t>
      </w:r>
    </w:p>
    <w:p w14:paraId="28E261ED">
      <w:pPr>
        <w:pStyle w:val="2"/>
        <w:ind w:left="0" w:leftChars="0" w:firstLine="0" w:firstLineChars="0"/>
        <w:rPr>
          <w:rFonts w:hint="eastAsia"/>
        </w:rPr>
      </w:pPr>
    </w:p>
    <w:p w14:paraId="6B436E07">
      <w:pPr>
        <w:rPr>
          <w:rFonts w:hint="eastAsia"/>
        </w:rPr>
      </w:pPr>
    </w:p>
    <w:p w14:paraId="1274FD43">
      <w:pPr>
        <w:rPr>
          <w:rFonts w:hint="eastAsia"/>
        </w:rPr>
      </w:pPr>
    </w:p>
    <w:p w14:paraId="63F665C8">
      <w:pPr>
        <w:rPr>
          <w:rFonts w:hint="eastAsia"/>
        </w:rPr>
      </w:pPr>
    </w:p>
    <w:p w14:paraId="6EB60E5D">
      <w:pPr>
        <w:rPr>
          <w:rFonts w:hint="eastAsia"/>
        </w:rPr>
      </w:pPr>
    </w:p>
    <w:p w14:paraId="5D9D98D2">
      <w:pPr>
        <w:rPr>
          <w:rFonts w:hint="eastAsia"/>
        </w:rPr>
      </w:pPr>
    </w:p>
    <w:p w14:paraId="21C0C72F">
      <w:pPr>
        <w:rPr>
          <w:rFonts w:hint="eastAsia"/>
        </w:rPr>
      </w:pPr>
    </w:p>
    <w:p w14:paraId="2AB4078A">
      <w:pPr>
        <w:rPr>
          <w:rFonts w:hint="eastAsia"/>
        </w:rPr>
      </w:pPr>
    </w:p>
    <w:p w14:paraId="15B8C5BE">
      <w:pPr>
        <w:rPr>
          <w:rFonts w:hint="eastAsia"/>
        </w:rPr>
      </w:pPr>
    </w:p>
    <w:p w14:paraId="53221AFB">
      <w:pPr>
        <w:rPr>
          <w:rFonts w:hint="eastAsia"/>
        </w:rPr>
      </w:pPr>
    </w:p>
    <w:p w14:paraId="7890DA69">
      <w:pPr>
        <w:rPr>
          <w:rFonts w:hint="eastAsia"/>
        </w:rPr>
      </w:pPr>
    </w:p>
    <w:p w14:paraId="7955123E">
      <w:pPr>
        <w:rPr>
          <w:rFonts w:hint="eastAsia"/>
        </w:rPr>
      </w:pPr>
    </w:p>
    <w:p w14:paraId="39736D8A">
      <w:pPr>
        <w:rPr>
          <w:rFonts w:hint="eastAsia"/>
        </w:rPr>
      </w:pPr>
    </w:p>
    <w:p w14:paraId="10EB2A9E">
      <w:pPr>
        <w:rPr>
          <w:rFonts w:hint="eastAsia"/>
        </w:rPr>
      </w:pPr>
    </w:p>
    <w:p w14:paraId="6807C46D">
      <w:pPr>
        <w:rPr>
          <w:rFonts w:hint="eastAsia"/>
        </w:rPr>
      </w:pPr>
    </w:p>
    <w:p w14:paraId="0DF8ED72">
      <w:pPr>
        <w:rPr>
          <w:rFonts w:hint="eastAsia"/>
        </w:rPr>
      </w:pPr>
    </w:p>
    <w:p w14:paraId="09082921">
      <w:pPr>
        <w:rPr>
          <w:rFonts w:hint="eastAsia"/>
        </w:rPr>
      </w:pPr>
    </w:p>
    <w:p w14:paraId="0A563028">
      <w:pPr>
        <w:rPr>
          <w:rFonts w:hint="eastAsia"/>
        </w:rPr>
      </w:pPr>
    </w:p>
    <w:p w14:paraId="53AD8149">
      <w:pPr>
        <w:rPr>
          <w:rFonts w:hint="eastAsia"/>
        </w:rPr>
      </w:pPr>
    </w:p>
    <w:p w14:paraId="00145A82">
      <w:pPr>
        <w:rPr>
          <w:rFonts w:hint="eastAsia"/>
        </w:rPr>
      </w:pPr>
    </w:p>
    <w:p w14:paraId="65163E28">
      <w:pPr>
        <w:rPr>
          <w:rFonts w:hint="eastAsia"/>
        </w:rPr>
      </w:pPr>
    </w:p>
    <w:p w14:paraId="60E511CF">
      <w:pPr>
        <w:rPr>
          <w:rFonts w:hint="eastAsia"/>
        </w:rPr>
      </w:pPr>
    </w:p>
    <w:p w14:paraId="3C59F8A3">
      <w:pPr>
        <w:rPr>
          <w:rFonts w:hint="eastAsia"/>
        </w:rPr>
      </w:pPr>
    </w:p>
    <w:p w14:paraId="3FAAAB56">
      <w:pPr>
        <w:rPr>
          <w:rFonts w:hint="eastAsia"/>
        </w:rPr>
      </w:pPr>
    </w:p>
    <w:p w14:paraId="78E21DE5">
      <w:pPr>
        <w:rPr>
          <w:rFonts w:hint="eastAsia"/>
        </w:rPr>
      </w:pPr>
    </w:p>
    <w:p w14:paraId="4CC1042B">
      <w:pPr>
        <w:rPr>
          <w:rFonts w:hint="eastAsia"/>
        </w:rPr>
      </w:pPr>
    </w:p>
    <w:p w14:paraId="06F8F725">
      <w:pPr>
        <w:rPr>
          <w:rFonts w:hint="eastAsia"/>
        </w:rPr>
      </w:pPr>
    </w:p>
    <w:p w14:paraId="6AF24605">
      <w:pPr>
        <w:rPr>
          <w:rFonts w:hint="eastAsia"/>
        </w:rPr>
      </w:pPr>
    </w:p>
    <w:p w14:paraId="73DF49CB">
      <w:pPr>
        <w:rPr>
          <w:rFonts w:hint="eastAsia"/>
        </w:rPr>
      </w:pPr>
    </w:p>
    <w:p w14:paraId="1E7833CE">
      <w:pPr>
        <w:rPr>
          <w:rFonts w:hint="eastAsia"/>
        </w:rPr>
      </w:pPr>
    </w:p>
    <w:p w14:paraId="501C9506">
      <w:pPr>
        <w:rPr>
          <w:rFonts w:hint="eastAsia"/>
        </w:rPr>
      </w:pPr>
    </w:p>
    <w:p w14:paraId="6FC31D04">
      <w:pPr>
        <w:rPr>
          <w:rFonts w:hint="eastAsia"/>
        </w:rPr>
      </w:pPr>
    </w:p>
    <w:p w14:paraId="55B85749">
      <w:pPr>
        <w:rPr>
          <w:rFonts w:hint="eastAsia"/>
        </w:rPr>
      </w:pPr>
    </w:p>
    <w:p w14:paraId="2256E7FE">
      <w:pPr>
        <w:rPr>
          <w:rFonts w:hint="eastAsia"/>
        </w:rPr>
      </w:pPr>
    </w:p>
    <w:p w14:paraId="0C1465BE">
      <w:pPr>
        <w:rPr>
          <w:rFonts w:hint="eastAsia"/>
        </w:rPr>
      </w:pPr>
    </w:p>
    <w:p w14:paraId="0877C99D">
      <w:pPr>
        <w:rPr>
          <w:rFonts w:hint="eastAsia"/>
        </w:rPr>
      </w:pPr>
      <w:r>
        <w:rPr>
          <w:rFonts w:hint="eastAsia"/>
        </w:rPr>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355600</wp:posOffset>
                </wp:positionV>
                <wp:extent cx="5618480" cy="0"/>
                <wp:effectExtent l="0" t="4445" r="0" b="5080"/>
                <wp:wrapNone/>
                <wp:docPr id="3" name="直线 4"/>
                <wp:cNvGraphicFramePr/>
                <a:graphic xmlns:a="http://schemas.openxmlformats.org/drawingml/2006/main">
                  <a:graphicData uri="http://schemas.microsoft.com/office/word/2010/wordprocessingShape">
                    <wps:wsp>
                      <wps:cNvSpPr/>
                      <wps:spPr>
                        <a:xfrm>
                          <a:off x="0" y="0"/>
                          <a:ext cx="56184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2.25pt;margin-top:28pt;height:0pt;width:442.4pt;z-index:251661312;mso-width-relative:page;mso-height-relative:page;" filled="f" stroked="t" coordsize="21600,21600" o:gfxdata="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KKQ4dYA&#10;AAAIAQAADwAAAAAAAAABACAAAAAiAAAAZHJzL2Rvd25yZXYueG1sUEsBAhQAFAAAAAgAh07iQHwz&#10;QdXoAQAA2wMAAA4AAAAAAAAAAQAgAAAAJQEAAGRycy9lMm9Eb2MueG1sUEsFBgAAAAAGAAYAWQEA&#10;AH8FAAAAAA==&#10;">
                <v:fill on="f" focussize="0,0"/>
                <v:stroke color="#000000" joinstyle="round"/>
                <v:imagedata o:title=""/>
                <o:lock v:ext="edit" aspectratio="f"/>
              </v:line>
            </w:pict>
          </mc:Fallback>
        </mc:AlternateContent>
      </w:r>
    </w:p>
    <w:p w14:paraId="1B86227E">
      <w:pPr>
        <w:keepNext w:val="0"/>
        <w:keepLines w:val="0"/>
        <w:pageBreakBefore w:val="0"/>
        <w:widowControl w:val="0"/>
        <w:tabs>
          <w:tab w:val="left" w:pos="7685"/>
        </w:tabs>
        <w:kinsoku/>
        <w:wordWrap/>
        <w:overflowPunct/>
        <w:topLinePunct w:val="0"/>
        <w:autoSpaceDE/>
        <w:autoSpaceDN/>
        <w:bidi w:val="0"/>
        <w:adjustRightInd/>
        <w:snapToGrid/>
        <w:ind w:firstLine="276" w:firstLineChars="100"/>
        <w:textAlignment w:val="auto"/>
        <w:rPr>
          <w:rFonts w:hint="eastAsia"/>
        </w:rPr>
      </w:pPr>
      <w:r>
        <w:rPr>
          <w:rFonts w:hint="eastAsia"/>
          <w:sz w:val="28"/>
          <w:szCs w:val="28"/>
        </w:rPr>
        <w:t>抄送：</w:t>
      </w:r>
      <w:r>
        <w:rPr>
          <w:rFonts w:hint="eastAsia"/>
          <w:sz w:val="28"/>
          <w:szCs w:val="28"/>
          <w:lang w:val="en-US" w:eastAsia="zh-CN"/>
        </w:rPr>
        <w:t>市政府办公室。</w:t>
      </w:r>
    </w:p>
    <w:p w14:paraId="07B8061D">
      <w:pPr>
        <w:keepNext w:val="0"/>
        <w:keepLines w:val="0"/>
        <w:pageBreakBefore w:val="0"/>
        <w:widowControl w:val="0"/>
        <w:tabs>
          <w:tab w:val="left" w:pos="7685"/>
        </w:tabs>
        <w:kinsoku/>
        <w:wordWrap/>
        <w:overflowPunct/>
        <w:topLinePunct w:val="0"/>
        <w:autoSpaceDE/>
        <w:autoSpaceDN/>
        <w:bidi w:val="0"/>
        <w:adjustRightInd/>
        <w:snapToGrid/>
        <w:ind w:firstLine="1056" w:firstLineChars="400"/>
        <w:textAlignment w:val="auto"/>
        <w:rPr>
          <w:spacing w:val="-6"/>
          <w:sz w:val="28"/>
          <w:szCs w:val="28"/>
        </w:rPr>
      </w:pPr>
      <w:r>
        <w:rPr>
          <w:spacing w:val="-6"/>
          <w:sz w:val="28"/>
          <w:szCs w:val="28"/>
        </w:rPr>
        <w:t>区委</w:t>
      </w:r>
      <w:r>
        <w:rPr>
          <w:rFonts w:hint="eastAsia"/>
          <w:spacing w:val="-6"/>
          <w:sz w:val="28"/>
          <w:szCs w:val="28"/>
          <w:lang w:eastAsia="zh-CN"/>
        </w:rPr>
        <w:t>办公室</w:t>
      </w:r>
      <w:r>
        <w:rPr>
          <w:spacing w:val="-6"/>
          <w:sz w:val="28"/>
          <w:szCs w:val="28"/>
        </w:rPr>
        <w:t>，区人大常委会办公室，区政协办公室，区纪委监委，</w:t>
      </w:r>
    </w:p>
    <w:p w14:paraId="2314C973">
      <w:pPr>
        <w:keepNext w:val="0"/>
        <w:keepLines w:val="0"/>
        <w:pageBreakBefore w:val="0"/>
        <w:widowControl w:val="0"/>
        <w:tabs>
          <w:tab w:val="left" w:pos="7685"/>
        </w:tabs>
        <w:kinsoku/>
        <w:wordWrap/>
        <w:overflowPunct/>
        <w:topLinePunct w:val="0"/>
        <w:autoSpaceDE/>
        <w:autoSpaceDN/>
        <w:bidi w:val="0"/>
        <w:adjustRightInd/>
        <w:snapToGrid/>
        <w:ind w:firstLine="1056" w:firstLineChars="400"/>
        <w:textAlignment w:val="auto"/>
        <w:rPr>
          <w:spacing w:val="-6"/>
          <w:sz w:val="28"/>
          <w:szCs w:val="28"/>
        </w:rPr>
      </w:pPr>
      <w:r>
        <w:rPr>
          <w:spacing w:val="-6"/>
          <w:sz w:val="28"/>
          <w:szCs w:val="28"/>
        </w:rPr>
        <w:t>区人武部，区法院，区检察院</w:t>
      </w:r>
      <w:r>
        <w:rPr>
          <w:rFonts w:hint="eastAsia"/>
          <w:spacing w:val="-6"/>
          <w:sz w:val="28"/>
          <w:szCs w:val="28"/>
        </w:rPr>
        <w:t>。</w:t>
      </w:r>
    </w:p>
    <w:p w14:paraId="7531FDC2">
      <w:pPr>
        <w:keepNext w:val="0"/>
        <w:keepLines w:val="0"/>
        <w:pageBreakBefore w:val="0"/>
        <w:widowControl w:val="0"/>
        <w:kinsoku/>
        <w:wordWrap/>
        <w:overflowPunct/>
        <w:topLinePunct w:val="0"/>
        <w:autoSpaceDE/>
        <w:autoSpaceDN/>
        <w:bidi w:val="0"/>
        <w:adjustRightInd/>
        <w:snapToGrid/>
        <w:ind w:firstLine="276" w:firstLineChars="100"/>
        <w:textAlignment w:val="auto"/>
        <w:rPr>
          <w:sz w:val="28"/>
          <w:szCs w:val="28"/>
        </w:rPr>
      </w:pPr>
      <w:r>
        <w:rPr>
          <w:sz w:val="28"/>
          <w:szCs w:val="2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18480" cy="0"/>
                <wp:effectExtent l="0" t="4445" r="0" b="5080"/>
                <wp:wrapNone/>
                <wp:docPr id="1" name="直线 2"/>
                <wp:cNvGraphicFramePr/>
                <a:graphic xmlns:a="http://schemas.openxmlformats.org/drawingml/2006/main">
                  <a:graphicData uri="http://schemas.microsoft.com/office/word/2010/wordprocessingShape">
                    <wps:wsp>
                      <wps:cNvSpPr/>
                      <wps:spPr>
                        <a:xfrm>
                          <a:off x="0" y="0"/>
                          <a:ext cx="56184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0pt;margin-top:0pt;height:0pt;width:442.4pt;z-index:251659264;mso-width-relative:page;mso-height-relative:page;" filled="f" stroked="t" coordsize="21600,21600" o:gfxdata="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Kl7sdEAAAACAQAA&#10;DwAAAAAAAAABACAAAAAiAAAAZHJzL2Rvd25yZXYueG1sUEsBAhQAFAAAAAgAh07iQJaESW/nAQAA&#10;2wMAAA4AAAAAAAAAAQAgAAAAIAEAAGRycy9lMm9Eb2MueG1sUEsFBgAAAAAGAAYAWQEAAHkFAAAA&#10;AA==&#10;">
                <v:fill on="f" focussize="0,0"/>
                <v:stroke color="#000000" joinstyle="round"/>
                <v:imagedata o:title=""/>
                <o:lock v:ext="edit" aspectratio="f"/>
              </v:line>
            </w:pict>
          </mc:Fallback>
        </mc:AlternateContent>
      </w:r>
      <w:r>
        <w:rPr>
          <w:sz w:val="28"/>
          <w:szCs w:val="28"/>
        </w:rPr>
        <w:t xml:space="preserve">汉中市汉台区人民政府办公室         </w:t>
      </w:r>
      <w:r>
        <w:rPr>
          <w:rFonts w:hint="eastAsia"/>
          <w:sz w:val="28"/>
          <w:szCs w:val="28"/>
          <w:lang w:val="en-US" w:eastAsia="zh-CN"/>
        </w:rPr>
        <w:t xml:space="preserve"> </w:t>
      </w:r>
      <w:r>
        <w:rPr>
          <w:sz w:val="28"/>
          <w:szCs w:val="28"/>
        </w:rPr>
        <w:t xml:space="preserve"> </w:t>
      </w:r>
      <w:r>
        <w:rPr>
          <w:rFonts w:hint="eastAsia"/>
          <w:sz w:val="28"/>
          <w:szCs w:val="28"/>
          <w:lang w:val="en-US" w:eastAsia="zh-CN"/>
        </w:rPr>
        <w:t xml:space="preserve"> </w:t>
      </w:r>
      <w:r>
        <w:rPr>
          <w:sz w:val="28"/>
          <w:szCs w:val="28"/>
        </w:rPr>
        <w:t xml:space="preserve">   </w:t>
      </w:r>
      <w:r>
        <w:rPr>
          <w:rFonts w:hint="eastAsia"/>
          <w:sz w:val="28"/>
          <w:szCs w:val="28"/>
          <w:lang w:val="en-US" w:eastAsia="zh-CN"/>
        </w:rPr>
        <w:t xml:space="preserve"> </w:t>
      </w:r>
      <w:r>
        <w:rPr>
          <w:sz w:val="28"/>
          <w:szCs w:val="28"/>
        </w:rPr>
        <w:t>202</w:t>
      </w:r>
      <w:r>
        <w:rPr>
          <w:rFonts w:hint="eastAsia"/>
          <w:sz w:val="28"/>
          <w:szCs w:val="28"/>
          <w:lang w:val="en-US" w:eastAsia="zh-CN"/>
        </w:rPr>
        <w:t>6</w:t>
      </w:r>
      <w:r>
        <w:rPr>
          <w:sz w:val="28"/>
          <w:szCs w:val="28"/>
        </w:rPr>
        <w:t>年</w:t>
      </w:r>
      <w:r>
        <w:rPr>
          <w:rFonts w:hint="eastAsia"/>
          <w:sz w:val="28"/>
          <w:szCs w:val="28"/>
          <w:lang w:val="en-US" w:eastAsia="zh-CN"/>
        </w:rPr>
        <w:t>4</w:t>
      </w:r>
      <w:r>
        <w:rPr>
          <w:sz w:val="28"/>
          <w:szCs w:val="28"/>
        </w:rPr>
        <w:t>月</w:t>
      </w:r>
      <w:r>
        <w:rPr>
          <w:rFonts w:hint="eastAsia"/>
          <w:sz w:val="28"/>
          <w:szCs w:val="28"/>
          <w:lang w:val="en-US" w:eastAsia="zh-CN"/>
        </w:rPr>
        <w:t>29</w:t>
      </w:r>
      <w:r>
        <w:rPr>
          <w:sz w:val="28"/>
          <w:szCs w:val="28"/>
        </w:rPr>
        <w:t>日印发</w:t>
      </w:r>
    </w:p>
    <w:p w14:paraId="06233B3C">
      <w:pPr>
        <w:keepNext w:val="0"/>
        <w:keepLines w:val="0"/>
        <w:pageBreakBefore w:val="0"/>
        <w:widowControl w:val="0"/>
        <w:kinsoku/>
        <w:wordWrap/>
        <w:overflowPunct/>
        <w:topLinePunct w:val="0"/>
        <w:autoSpaceDE/>
        <w:autoSpaceDN/>
        <w:bidi w:val="0"/>
        <w:adjustRightInd/>
        <w:snapToGrid/>
        <w:ind w:firstLine="276" w:firstLineChars="100"/>
        <w:textAlignment w:val="auto"/>
        <w:rPr>
          <w:sz w:val="28"/>
          <w:szCs w:val="28"/>
        </w:rPr>
      </w:pPr>
      <w:r>
        <w:rPr>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618480" cy="0"/>
                <wp:effectExtent l="0" t="4445" r="0" b="5080"/>
                <wp:wrapNone/>
                <wp:docPr id="2" name="直线 3"/>
                <wp:cNvGraphicFramePr/>
                <a:graphic xmlns:a="http://schemas.openxmlformats.org/drawingml/2006/main">
                  <a:graphicData uri="http://schemas.microsoft.com/office/word/2010/wordprocessingShape">
                    <wps:wsp>
                      <wps:cNvSpPr/>
                      <wps:spPr>
                        <a:xfrm>
                          <a:off x="0" y="0"/>
                          <a:ext cx="56184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0pt;margin-top:0pt;height:0pt;width:442.4pt;z-index:251660288;mso-width-relative:page;mso-height-relative:page;" filled="f" stroked="t" coordsize="21600,21600" o:gfxdata="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Spe7HRAAAAAgEA&#10;AA8AAAAAAAAAAQAgAAAAIgAAAGRycy9kb3ducmV2LnhtbFBLAQIUABQAAAAIAIdO4kBxbaD86AEA&#10;ANsDAAAOAAAAAAAAAAEAIAAAACABAABkcnMvZTJvRG9jLnhtbFBLBQYAAAAABgAGAFkBAAB6BQAA&#10;AAA=&#10;">
                <v:fill on="f" focussize="0,0"/>
                <v:stroke color="#000000" joinstyle="round"/>
                <v:imagedata o:title=""/>
                <o:lock v:ext="edit" aspectratio="f"/>
              </v:line>
            </w:pict>
          </mc:Fallback>
        </mc:AlternateContent>
      </w:r>
      <w:r>
        <w:rPr>
          <w:sz w:val="28"/>
          <w:szCs w:val="28"/>
        </w:rPr>
        <w:t>校对人：</w:t>
      </w:r>
      <w:r>
        <w:rPr>
          <w:rFonts w:hint="eastAsia"/>
          <w:sz w:val="28"/>
          <w:szCs w:val="28"/>
          <w:lang w:val="en-US" w:eastAsia="zh-CN"/>
        </w:rPr>
        <w:t xml:space="preserve">区发改局徐楚楚                             </w:t>
      </w:r>
      <w:r>
        <w:rPr>
          <w:sz w:val="28"/>
          <w:szCs w:val="28"/>
        </w:rPr>
        <w:t>共印</w:t>
      </w:r>
      <w:r>
        <w:rPr>
          <w:rFonts w:hint="eastAsia"/>
          <w:sz w:val="28"/>
          <w:szCs w:val="28"/>
          <w:lang w:val="en-US" w:eastAsia="zh-CN"/>
        </w:rPr>
        <w:t>35</w:t>
      </w:r>
      <w:r>
        <w:rPr>
          <w:sz w:val="28"/>
          <w:szCs w:val="28"/>
        </w:rPr>
        <w:t>份</w:t>
      </w:r>
    </w:p>
    <w:sectPr>
      <w:pgSz w:w="11906" w:h="16838"/>
      <w:pgMar w:top="2098" w:right="1474" w:bottom="1984" w:left="1587" w:header="851" w:footer="1304" w:gutter="0"/>
      <w:paperSrc/>
      <w:pgBorders>
        <w:top w:val="none" w:sz="0" w:space="0"/>
        <w:left w:val="none" w:sz="0" w:space="0"/>
        <w:bottom w:val="none" w:sz="0" w:space="0"/>
        <w:right w:val="none" w:sz="0" w:space="0"/>
      </w:pgBorders>
      <w:pgNumType w:fmt="decimal"/>
      <w:cols w:space="72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039B751-229F-4054-8DF0-492EBEA28C3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0CC92DB-3E71-4236-A60A-240587CE436C}"/>
  </w:font>
  <w:font w:name="仿宋_GB2312">
    <w:altName w:val="仿宋"/>
    <w:panose1 w:val="00000000000000000000"/>
    <w:charset w:val="86"/>
    <w:family w:val="auto"/>
    <w:pitch w:val="default"/>
    <w:sig w:usb0="00000000" w:usb1="00000000" w:usb2="00000000" w:usb3="00000000" w:csb0="00040001" w:csb1="00000000"/>
    <w:embedRegular r:id="rId3" w:fontKey="{1B595D9A-2A7E-4E8B-8E26-2F65CD179E93}"/>
  </w:font>
  <w:font w:name="楷体_GB2312">
    <w:panose1 w:val="02010609030101010101"/>
    <w:charset w:val="86"/>
    <w:family w:val="modern"/>
    <w:pitch w:val="default"/>
    <w:sig w:usb0="00000283" w:usb1="080F0C00" w:usb2="00000010" w:usb3="00000000" w:csb0="00040001" w:csb1="00000000"/>
    <w:embedRegular r:id="rId4" w:fontKey="{3B350660-1667-400D-A01A-EB69350C8FA1}"/>
  </w:font>
  <w:font w:name="方正小标宋简体">
    <w:panose1 w:val="02010600010101010101"/>
    <w:charset w:val="86"/>
    <w:family w:val="auto"/>
    <w:pitch w:val="default"/>
    <w:sig w:usb0="00000001" w:usb1="080E0000" w:usb2="00000000" w:usb3="00000000" w:csb0="00040000" w:csb1="00000000"/>
    <w:embedRegular r:id="rId5" w:fontKey="{6A693AD7-8EBB-45BE-B5DC-8D351186CEB6}"/>
  </w:font>
  <w:font w:name="CESI黑体-GB2312">
    <w:altName w:val="黑体"/>
    <w:panose1 w:val="02000500000000000000"/>
    <w:charset w:val="86"/>
    <w:family w:val="auto"/>
    <w:pitch w:val="default"/>
    <w:sig w:usb0="800002BF" w:usb1="184F6CF8" w:usb2="00000012" w:usb3="00000000" w:csb0="0004000F" w:csb1="00000000"/>
    <w:embedRegular r:id="rId6" w:fontKey="{F2340A2D-12E7-4550-9B26-BB880B8B873E}"/>
  </w:font>
  <w:font w:name="仿宋">
    <w:panose1 w:val="02010609060101010101"/>
    <w:charset w:val="86"/>
    <w:family w:val="auto"/>
    <w:pitch w:val="default"/>
    <w:sig w:usb0="800002BF" w:usb1="38CF7CFA" w:usb2="00000016" w:usb3="00000000" w:csb0="00040001" w:csb1="00000000"/>
  </w:font>
  <w:font w:name="KSOFBDAA233C">
    <w:panose1 w:val="02010609060101010101"/>
    <w:charset w:val="86"/>
    <w:family w:val="auto"/>
    <w:pitch w:val="default"/>
    <w:sig w:usb0="00000001"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95F28">
    <w:pPr>
      <w:pStyle w:val="11"/>
      <w:ind w:firstLine="7840" w:firstLineChars="2800"/>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6B732">
    <w:pPr>
      <w:pStyle w:val="11"/>
      <w:ind w:firstLine="280" w:firstLineChars="100"/>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63EAF">
    <w:pPr>
      <w:pStyle w:val="11"/>
      <w:ind w:firstLine="7840" w:firstLineChars="2800"/>
      <w:rPr>
        <w:rFonts w:hint="eastAsia" w:eastAsia="仿宋_GB2312"/>
        <w:sz w:val="28"/>
        <w:szCs w:val="28"/>
        <w:lang w:eastAsia="zh-CN"/>
      </w:rPr>
    </w:pPr>
    <w:r>
      <w:rPr>
        <w:rFonts w:hint="eastAsia"/>
        <w:sz w:val="28"/>
        <w:szCs w:val="28"/>
        <w:lang w:eastAsia="zh-CN"/>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w:t>
    </w:r>
    <w:r>
      <w:rPr>
        <w:sz w:val="28"/>
        <w:szCs w:val="28"/>
      </w:rPr>
      <w:fldChar w:fldCharType="end"/>
    </w:r>
    <w:r>
      <w:rPr>
        <w:rFonts w:hint="eastAsia"/>
        <w:sz w:val="28"/>
        <w:szCs w:val="28"/>
        <w:lang w:eastAsia="zh-CN"/>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83B9F">
    <w:pPr>
      <w:pStyle w:val="11"/>
      <w:ind w:firstLine="280" w:firstLineChars="100"/>
      <w:rPr>
        <w:sz w:val="28"/>
      </w:rPr>
    </w:pPr>
    <w:r>
      <w:rPr>
        <w:rFonts w:hint="eastAsia"/>
        <w:sz w:val="28"/>
        <w:szCs w:val="28"/>
        <w:lang w:eastAsia="zh-CN"/>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w:t>
    </w:r>
    <w:r>
      <w:rPr>
        <w:sz w:val="28"/>
        <w:szCs w:val="28"/>
      </w:rPr>
      <w:fldChar w:fldCharType="end"/>
    </w:r>
    <w:r>
      <w:rPr>
        <w:rFonts w:hint="eastAsia"/>
        <w:sz w:val="28"/>
        <w:szCs w:val="28"/>
        <w:lang w:eastAsia="zh-CN"/>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hyphenationZone w:val="360"/>
  <w:evenAndOddHeaders w:val="1"/>
  <w:drawingGridHorizontalSpacing w:val="158"/>
  <w:drawingGridVerticalSpacing w:val="290"/>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E77"/>
    <w:rsid w:val="00031BA9"/>
    <w:rsid w:val="00032D1E"/>
    <w:rsid w:val="00045E2B"/>
    <w:rsid w:val="00063D25"/>
    <w:rsid w:val="00070A7E"/>
    <w:rsid w:val="00080C5B"/>
    <w:rsid w:val="0008345C"/>
    <w:rsid w:val="000A0B81"/>
    <w:rsid w:val="000D7AB1"/>
    <w:rsid w:val="00141F22"/>
    <w:rsid w:val="001630BD"/>
    <w:rsid w:val="00194A42"/>
    <w:rsid w:val="001A6009"/>
    <w:rsid w:val="001A6152"/>
    <w:rsid w:val="001C451E"/>
    <w:rsid w:val="001C6314"/>
    <w:rsid w:val="00213DAF"/>
    <w:rsid w:val="00222861"/>
    <w:rsid w:val="00240E19"/>
    <w:rsid w:val="00262685"/>
    <w:rsid w:val="00275000"/>
    <w:rsid w:val="00291E95"/>
    <w:rsid w:val="002A4CC1"/>
    <w:rsid w:val="002C2BB5"/>
    <w:rsid w:val="002D2B38"/>
    <w:rsid w:val="003024FC"/>
    <w:rsid w:val="00305C03"/>
    <w:rsid w:val="00320698"/>
    <w:rsid w:val="003219D6"/>
    <w:rsid w:val="0036648B"/>
    <w:rsid w:val="00383CC3"/>
    <w:rsid w:val="00392CCC"/>
    <w:rsid w:val="00397B9B"/>
    <w:rsid w:val="003F2C4C"/>
    <w:rsid w:val="00414469"/>
    <w:rsid w:val="004401B2"/>
    <w:rsid w:val="00451D4A"/>
    <w:rsid w:val="00454C6D"/>
    <w:rsid w:val="00454DEB"/>
    <w:rsid w:val="00466023"/>
    <w:rsid w:val="00472F9E"/>
    <w:rsid w:val="0049236B"/>
    <w:rsid w:val="004B753D"/>
    <w:rsid w:val="004C6B79"/>
    <w:rsid w:val="004C70BE"/>
    <w:rsid w:val="004F3A80"/>
    <w:rsid w:val="00523782"/>
    <w:rsid w:val="005439ED"/>
    <w:rsid w:val="0054538D"/>
    <w:rsid w:val="005478AB"/>
    <w:rsid w:val="00570424"/>
    <w:rsid w:val="00575B41"/>
    <w:rsid w:val="0059606F"/>
    <w:rsid w:val="005D75A4"/>
    <w:rsid w:val="005F5DDE"/>
    <w:rsid w:val="006068C4"/>
    <w:rsid w:val="0064429C"/>
    <w:rsid w:val="00690D18"/>
    <w:rsid w:val="006B12FB"/>
    <w:rsid w:val="006E607A"/>
    <w:rsid w:val="00707C3D"/>
    <w:rsid w:val="007373BD"/>
    <w:rsid w:val="00762559"/>
    <w:rsid w:val="00771B61"/>
    <w:rsid w:val="00775233"/>
    <w:rsid w:val="0078259A"/>
    <w:rsid w:val="00795F8F"/>
    <w:rsid w:val="0079706E"/>
    <w:rsid w:val="007A6FF6"/>
    <w:rsid w:val="007D0833"/>
    <w:rsid w:val="007D1ABE"/>
    <w:rsid w:val="007D29EA"/>
    <w:rsid w:val="007E093D"/>
    <w:rsid w:val="00801609"/>
    <w:rsid w:val="0080672D"/>
    <w:rsid w:val="00812D16"/>
    <w:rsid w:val="0083014D"/>
    <w:rsid w:val="00853E1A"/>
    <w:rsid w:val="00855C31"/>
    <w:rsid w:val="008610EE"/>
    <w:rsid w:val="00880E04"/>
    <w:rsid w:val="00884577"/>
    <w:rsid w:val="008866CD"/>
    <w:rsid w:val="00890C5A"/>
    <w:rsid w:val="0089525F"/>
    <w:rsid w:val="008A287C"/>
    <w:rsid w:val="008A7EFE"/>
    <w:rsid w:val="008D35BB"/>
    <w:rsid w:val="008D6263"/>
    <w:rsid w:val="008F6A45"/>
    <w:rsid w:val="00906660"/>
    <w:rsid w:val="00947E8E"/>
    <w:rsid w:val="00962C63"/>
    <w:rsid w:val="00965B91"/>
    <w:rsid w:val="00985948"/>
    <w:rsid w:val="009B40A2"/>
    <w:rsid w:val="009C2800"/>
    <w:rsid w:val="009C5DEB"/>
    <w:rsid w:val="009D4CE6"/>
    <w:rsid w:val="009E0F12"/>
    <w:rsid w:val="009E42DC"/>
    <w:rsid w:val="009F6D29"/>
    <w:rsid w:val="00A27AC2"/>
    <w:rsid w:val="00A31898"/>
    <w:rsid w:val="00A32B45"/>
    <w:rsid w:val="00A33E77"/>
    <w:rsid w:val="00A47185"/>
    <w:rsid w:val="00A546DA"/>
    <w:rsid w:val="00A578EA"/>
    <w:rsid w:val="00A61E13"/>
    <w:rsid w:val="00A72A2C"/>
    <w:rsid w:val="00A92647"/>
    <w:rsid w:val="00A95690"/>
    <w:rsid w:val="00AB2219"/>
    <w:rsid w:val="00AB5966"/>
    <w:rsid w:val="00AD33AE"/>
    <w:rsid w:val="00AD6B15"/>
    <w:rsid w:val="00AE1E3B"/>
    <w:rsid w:val="00B037CC"/>
    <w:rsid w:val="00B04C40"/>
    <w:rsid w:val="00B41918"/>
    <w:rsid w:val="00B62D19"/>
    <w:rsid w:val="00B92A1E"/>
    <w:rsid w:val="00BA09BA"/>
    <w:rsid w:val="00BC30E2"/>
    <w:rsid w:val="00BC6E80"/>
    <w:rsid w:val="00BD1105"/>
    <w:rsid w:val="00BE75DA"/>
    <w:rsid w:val="00BF4925"/>
    <w:rsid w:val="00C032AB"/>
    <w:rsid w:val="00C242D1"/>
    <w:rsid w:val="00C243C1"/>
    <w:rsid w:val="00C613C9"/>
    <w:rsid w:val="00C81295"/>
    <w:rsid w:val="00C821F3"/>
    <w:rsid w:val="00D0036D"/>
    <w:rsid w:val="00D24E45"/>
    <w:rsid w:val="00D356AF"/>
    <w:rsid w:val="00D37DE8"/>
    <w:rsid w:val="00D522E2"/>
    <w:rsid w:val="00D977A6"/>
    <w:rsid w:val="00DD1BDC"/>
    <w:rsid w:val="00DF4E8A"/>
    <w:rsid w:val="00E11611"/>
    <w:rsid w:val="00E165DF"/>
    <w:rsid w:val="00E257C4"/>
    <w:rsid w:val="00E34F70"/>
    <w:rsid w:val="00E3532C"/>
    <w:rsid w:val="00E363F3"/>
    <w:rsid w:val="00E82FAD"/>
    <w:rsid w:val="00E9697D"/>
    <w:rsid w:val="00EA35AF"/>
    <w:rsid w:val="00F21682"/>
    <w:rsid w:val="00F26A5A"/>
    <w:rsid w:val="00F522D6"/>
    <w:rsid w:val="00F556F1"/>
    <w:rsid w:val="00F9654E"/>
    <w:rsid w:val="00FB2F16"/>
    <w:rsid w:val="00FB3286"/>
    <w:rsid w:val="00FC7B1B"/>
    <w:rsid w:val="00FD61DD"/>
    <w:rsid w:val="01B528D1"/>
    <w:rsid w:val="01BF3DA6"/>
    <w:rsid w:val="05EE52AD"/>
    <w:rsid w:val="06EF0970"/>
    <w:rsid w:val="07FF19C9"/>
    <w:rsid w:val="08303874"/>
    <w:rsid w:val="0943732A"/>
    <w:rsid w:val="0DA34BBE"/>
    <w:rsid w:val="0DE64C81"/>
    <w:rsid w:val="0DF656C9"/>
    <w:rsid w:val="0F774512"/>
    <w:rsid w:val="1158DD3F"/>
    <w:rsid w:val="122E359F"/>
    <w:rsid w:val="12B30BC6"/>
    <w:rsid w:val="13FB31E6"/>
    <w:rsid w:val="16EC5DD8"/>
    <w:rsid w:val="174F0BB9"/>
    <w:rsid w:val="1799EAD5"/>
    <w:rsid w:val="18BB55C4"/>
    <w:rsid w:val="1B6C5711"/>
    <w:rsid w:val="1F3FD231"/>
    <w:rsid w:val="1FDF9FCB"/>
    <w:rsid w:val="20AF0692"/>
    <w:rsid w:val="20E64853"/>
    <w:rsid w:val="21C00FDB"/>
    <w:rsid w:val="242960F8"/>
    <w:rsid w:val="24EA64FF"/>
    <w:rsid w:val="25124EBA"/>
    <w:rsid w:val="25FD7090"/>
    <w:rsid w:val="279C60B7"/>
    <w:rsid w:val="27C1692C"/>
    <w:rsid w:val="27EFBC4F"/>
    <w:rsid w:val="284807B0"/>
    <w:rsid w:val="2BE758DE"/>
    <w:rsid w:val="2CE21B6F"/>
    <w:rsid w:val="2E7F8584"/>
    <w:rsid w:val="2E8FE12F"/>
    <w:rsid w:val="2F3EDCB4"/>
    <w:rsid w:val="2FD7BDBC"/>
    <w:rsid w:val="2FED2454"/>
    <w:rsid w:val="31D00014"/>
    <w:rsid w:val="327C1656"/>
    <w:rsid w:val="33954A69"/>
    <w:rsid w:val="33FE74EE"/>
    <w:rsid w:val="34ADF3D1"/>
    <w:rsid w:val="36A35420"/>
    <w:rsid w:val="376E6764"/>
    <w:rsid w:val="37AFDE4B"/>
    <w:rsid w:val="37FF8E6A"/>
    <w:rsid w:val="399F7111"/>
    <w:rsid w:val="3A5FCC94"/>
    <w:rsid w:val="3B2D2713"/>
    <w:rsid w:val="3BBFD997"/>
    <w:rsid w:val="3BEBC8CF"/>
    <w:rsid w:val="3C259EEB"/>
    <w:rsid w:val="3DEEDAE5"/>
    <w:rsid w:val="3E2FE9FE"/>
    <w:rsid w:val="3E446F63"/>
    <w:rsid w:val="3EF7F1FC"/>
    <w:rsid w:val="3EFDAAFA"/>
    <w:rsid w:val="3F4BDAE6"/>
    <w:rsid w:val="3F5D3E52"/>
    <w:rsid w:val="3F6DD870"/>
    <w:rsid w:val="3FB8ABDC"/>
    <w:rsid w:val="3FBFEF3C"/>
    <w:rsid w:val="3FDA4D98"/>
    <w:rsid w:val="3FDF3D9F"/>
    <w:rsid w:val="3FECBCBB"/>
    <w:rsid w:val="40282B36"/>
    <w:rsid w:val="42AB074F"/>
    <w:rsid w:val="450F5517"/>
    <w:rsid w:val="47121CAF"/>
    <w:rsid w:val="47F55D15"/>
    <w:rsid w:val="47F95754"/>
    <w:rsid w:val="47FC7522"/>
    <w:rsid w:val="4A6C0FE6"/>
    <w:rsid w:val="4ADE2ABC"/>
    <w:rsid w:val="4B3D6063"/>
    <w:rsid w:val="4DFD321F"/>
    <w:rsid w:val="4FDD72CB"/>
    <w:rsid w:val="51FED7AB"/>
    <w:rsid w:val="546B6061"/>
    <w:rsid w:val="593E2ED4"/>
    <w:rsid w:val="5A2521F3"/>
    <w:rsid w:val="5BA875B3"/>
    <w:rsid w:val="5BDB0CF9"/>
    <w:rsid w:val="5BDF67F9"/>
    <w:rsid w:val="5D75173A"/>
    <w:rsid w:val="5DFA4E22"/>
    <w:rsid w:val="5EFA7CCD"/>
    <w:rsid w:val="5F2BB37E"/>
    <w:rsid w:val="5F7B7E73"/>
    <w:rsid w:val="5F8DE2DE"/>
    <w:rsid w:val="5F9CB6CD"/>
    <w:rsid w:val="5FCD5CC9"/>
    <w:rsid w:val="5FD360D6"/>
    <w:rsid w:val="5FED7D7D"/>
    <w:rsid w:val="5FFF23E6"/>
    <w:rsid w:val="5FFFA55B"/>
    <w:rsid w:val="61F62FE1"/>
    <w:rsid w:val="64CD604D"/>
    <w:rsid w:val="65B91CD8"/>
    <w:rsid w:val="65DF132B"/>
    <w:rsid w:val="66AF9DB5"/>
    <w:rsid w:val="66F97A84"/>
    <w:rsid w:val="67AE9C55"/>
    <w:rsid w:val="67FEDB50"/>
    <w:rsid w:val="691B56C9"/>
    <w:rsid w:val="6B62F676"/>
    <w:rsid w:val="6B759D3A"/>
    <w:rsid w:val="6B7AA8D9"/>
    <w:rsid w:val="6BB756BE"/>
    <w:rsid w:val="6BF504C7"/>
    <w:rsid w:val="6BFDE231"/>
    <w:rsid w:val="6C5F4EBE"/>
    <w:rsid w:val="6DAEEB91"/>
    <w:rsid w:val="6DDB29E4"/>
    <w:rsid w:val="6E274D51"/>
    <w:rsid w:val="6E7B9269"/>
    <w:rsid w:val="6EC12DD4"/>
    <w:rsid w:val="6EE90456"/>
    <w:rsid w:val="6EEF8523"/>
    <w:rsid w:val="6FB3AF84"/>
    <w:rsid w:val="6FB6E8BE"/>
    <w:rsid w:val="6FB94832"/>
    <w:rsid w:val="6FBF8E6A"/>
    <w:rsid w:val="6FEA796A"/>
    <w:rsid w:val="6FF552B0"/>
    <w:rsid w:val="6FFB25A6"/>
    <w:rsid w:val="71E7ECCA"/>
    <w:rsid w:val="72E62926"/>
    <w:rsid w:val="737B04EF"/>
    <w:rsid w:val="73C4162F"/>
    <w:rsid w:val="73FAF37F"/>
    <w:rsid w:val="747278D5"/>
    <w:rsid w:val="74877ACA"/>
    <w:rsid w:val="74FF26C1"/>
    <w:rsid w:val="767D23D6"/>
    <w:rsid w:val="76A7BAB4"/>
    <w:rsid w:val="76DDB9CC"/>
    <w:rsid w:val="76FB2509"/>
    <w:rsid w:val="76FEED68"/>
    <w:rsid w:val="77EF7F37"/>
    <w:rsid w:val="77FA4EFC"/>
    <w:rsid w:val="78F3E2B9"/>
    <w:rsid w:val="7949F3B9"/>
    <w:rsid w:val="79F345FB"/>
    <w:rsid w:val="7A2EFBCC"/>
    <w:rsid w:val="7ABFBAE1"/>
    <w:rsid w:val="7B36FF07"/>
    <w:rsid w:val="7B3ECD61"/>
    <w:rsid w:val="7B76C0B5"/>
    <w:rsid w:val="7B7A135E"/>
    <w:rsid w:val="7B7C17D9"/>
    <w:rsid w:val="7B9E81F9"/>
    <w:rsid w:val="7BDA9145"/>
    <w:rsid w:val="7C201DB0"/>
    <w:rsid w:val="7C6F5CBE"/>
    <w:rsid w:val="7CCC4241"/>
    <w:rsid w:val="7CEF7740"/>
    <w:rsid w:val="7DBBFA0D"/>
    <w:rsid w:val="7DE6664C"/>
    <w:rsid w:val="7DF731C9"/>
    <w:rsid w:val="7DFB063B"/>
    <w:rsid w:val="7DFC20CF"/>
    <w:rsid w:val="7DFF12FB"/>
    <w:rsid w:val="7DFF3143"/>
    <w:rsid w:val="7DFF65E9"/>
    <w:rsid w:val="7E7FDF3A"/>
    <w:rsid w:val="7EFB673A"/>
    <w:rsid w:val="7F378718"/>
    <w:rsid w:val="7F6D0C37"/>
    <w:rsid w:val="7F7D58EC"/>
    <w:rsid w:val="7F7E7299"/>
    <w:rsid w:val="7F9EA02E"/>
    <w:rsid w:val="7FA5A709"/>
    <w:rsid w:val="7FCA5C9C"/>
    <w:rsid w:val="7FD78BE4"/>
    <w:rsid w:val="7FDEAAF9"/>
    <w:rsid w:val="7FEBFAB6"/>
    <w:rsid w:val="7FF6440B"/>
    <w:rsid w:val="7FF7BB20"/>
    <w:rsid w:val="7FFB2112"/>
    <w:rsid w:val="7FFFEEFC"/>
    <w:rsid w:val="937CAA5A"/>
    <w:rsid w:val="973A519F"/>
    <w:rsid w:val="9D4B5CFF"/>
    <w:rsid w:val="9DDB5D9F"/>
    <w:rsid w:val="9FC3569B"/>
    <w:rsid w:val="9FFD078E"/>
    <w:rsid w:val="A5F56A66"/>
    <w:rsid w:val="A86E6CA8"/>
    <w:rsid w:val="AF3B97AC"/>
    <w:rsid w:val="AFEBF41C"/>
    <w:rsid w:val="B5F365ED"/>
    <w:rsid w:val="B6CB2274"/>
    <w:rsid w:val="B6FB4617"/>
    <w:rsid w:val="B947B192"/>
    <w:rsid w:val="BA7B23C6"/>
    <w:rsid w:val="BABB5E01"/>
    <w:rsid w:val="BB1E8AD9"/>
    <w:rsid w:val="BBBF3310"/>
    <w:rsid w:val="BC1D8167"/>
    <w:rsid w:val="BDEFDD32"/>
    <w:rsid w:val="BDF369EF"/>
    <w:rsid w:val="BDF76144"/>
    <w:rsid w:val="BDFF2CFB"/>
    <w:rsid w:val="BDFF8C52"/>
    <w:rsid w:val="BE3E7201"/>
    <w:rsid w:val="BF7F398F"/>
    <w:rsid w:val="BFD659E7"/>
    <w:rsid w:val="BFFBFADA"/>
    <w:rsid w:val="BFFE0379"/>
    <w:rsid w:val="BFFF7C2A"/>
    <w:rsid w:val="BFFF855C"/>
    <w:rsid w:val="C79733A9"/>
    <w:rsid w:val="CBFD3B22"/>
    <w:rsid w:val="CCDB59FD"/>
    <w:rsid w:val="D1FFF56D"/>
    <w:rsid w:val="D33F9DBE"/>
    <w:rsid w:val="D3E53865"/>
    <w:rsid w:val="D73FACB9"/>
    <w:rsid w:val="D78AC5BF"/>
    <w:rsid w:val="D7AF9B20"/>
    <w:rsid w:val="D7BAE997"/>
    <w:rsid w:val="DA5F1DC2"/>
    <w:rsid w:val="DAD7A9E7"/>
    <w:rsid w:val="DB7F49E0"/>
    <w:rsid w:val="DBDDA788"/>
    <w:rsid w:val="DDD7896A"/>
    <w:rsid w:val="DEFF3A27"/>
    <w:rsid w:val="DF6F6862"/>
    <w:rsid w:val="DF7F7431"/>
    <w:rsid w:val="DFAF05F6"/>
    <w:rsid w:val="DFDC78D0"/>
    <w:rsid w:val="DFEA1909"/>
    <w:rsid w:val="DFFD4368"/>
    <w:rsid w:val="E2F839A1"/>
    <w:rsid w:val="E3FFEF3C"/>
    <w:rsid w:val="E5EBA6A2"/>
    <w:rsid w:val="E7EA8677"/>
    <w:rsid w:val="EAE7349E"/>
    <w:rsid w:val="EB7FA970"/>
    <w:rsid w:val="EBDB3AA7"/>
    <w:rsid w:val="EBFF4962"/>
    <w:rsid w:val="EBFF54A3"/>
    <w:rsid w:val="EDBF94F1"/>
    <w:rsid w:val="EE5FD568"/>
    <w:rsid w:val="EE67BBC0"/>
    <w:rsid w:val="EE7DFEC0"/>
    <w:rsid w:val="EFBF0519"/>
    <w:rsid w:val="EFD7FE12"/>
    <w:rsid w:val="EFDB06B9"/>
    <w:rsid w:val="EFEFCA4D"/>
    <w:rsid w:val="EFFA5BF7"/>
    <w:rsid w:val="F3FAC084"/>
    <w:rsid w:val="F4DFAADF"/>
    <w:rsid w:val="F5BFF90D"/>
    <w:rsid w:val="F6601B40"/>
    <w:rsid w:val="F68E45B5"/>
    <w:rsid w:val="F6DF45C9"/>
    <w:rsid w:val="F6F03B2C"/>
    <w:rsid w:val="F7FA6C00"/>
    <w:rsid w:val="FAAB60CE"/>
    <w:rsid w:val="FAFBD7AD"/>
    <w:rsid w:val="FBB9CF25"/>
    <w:rsid w:val="FBED8FCE"/>
    <w:rsid w:val="FBFA65DF"/>
    <w:rsid w:val="FD776F83"/>
    <w:rsid w:val="FD97336F"/>
    <w:rsid w:val="FDFF169D"/>
    <w:rsid w:val="FE734873"/>
    <w:rsid w:val="FE7DEE87"/>
    <w:rsid w:val="FE9EB95F"/>
    <w:rsid w:val="FEA79257"/>
    <w:rsid w:val="FEDEB0BE"/>
    <w:rsid w:val="FEDFFEA0"/>
    <w:rsid w:val="FEFDD177"/>
    <w:rsid w:val="FF693FC1"/>
    <w:rsid w:val="FF6A092A"/>
    <w:rsid w:val="FF7BDF39"/>
    <w:rsid w:val="FF7E5699"/>
    <w:rsid w:val="FF7F76AF"/>
    <w:rsid w:val="FF7F7FB4"/>
    <w:rsid w:val="FF9F7407"/>
    <w:rsid w:val="FFBBAEF5"/>
    <w:rsid w:val="FFD2205C"/>
    <w:rsid w:val="FFE4B115"/>
    <w:rsid w:val="FFEDF8E2"/>
    <w:rsid w:val="FFFC8F8B"/>
    <w:rsid w:val="FFFFD3D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5">
    <w:name w:val="heading 1"/>
    <w:basedOn w:val="1"/>
    <w:next w:val="1"/>
    <w:qFormat/>
    <w:uiPriority w:val="0"/>
    <w:pPr>
      <w:widowControl/>
      <w:spacing w:before="100" w:beforeLines="0" w:beforeAutospacing="1" w:after="100" w:afterLines="0" w:afterAutospacing="1"/>
      <w:jc w:val="left"/>
      <w:outlineLvl w:val="0"/>
    </w:pPr>
    <w:rPr>
      <w:rFonts w:ascii="宋体" w:hAnsi="宋体" w:eastAsia="宋体" w:cs="宋体"/>
      <w:kern w:val="36"/>
      <w:sz w:val="24"/>
    </w:rPr>
  </w:style>
  <w:style w:type="paragraph" w:styleId="6">
    <w:name w:val="heading 2"/>
    <w:basedOn w:val="1"/>
    <w:next w:val="1"/>
    <w:unhideWhenUsed/>
    <w:qFormat/>
    <w:uiPriority w:val="0"/>
    <w:pPr>
      <w:keepNext/>
      <w:keepLines/>
      <w:jc w:val="left"/>
      <w:outlineLvl w:val="1"/>
    </w:pPr>
    <w:rPr>
      <w:b/>
      <w:sz w:val="32"/>
      <w:szCs w:val="32"/>
    </w:rPr>
  </w:style>
  <w:style w:type="paragraph" w:styleId="7">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6">
    <w:name w:val="Default Paragraph Font"/>
    <w:unhideWhenUsed/>
    <w:uiPriority w:val="1"/>
  </w:style>
  <w:style w:type="table" w:default="1" w:styleId="14">
    <w:name w:val="Normal Table"/>
    <w:unhideWhenUsed/>
    <w:qFormat/>
    <w:uiPriority w:val="99"/>
    <w:tblPr>
      <w:tblStyle w:val="14"/>
      <w:tblCellMar>
        <w:top w:w="0" w:type="dxa"/>
        <w:left w:w="108" w:type="dxa"/>
        <w:bottom w:w="0" w:type="dxa"/>
        <w:right w:w="108" w:type="dxa"/>
      </w:tblCellMar>
    </w:tblPr>
  </w:style>
  <w:style w:type="paragraph" w:styleId="2">
    <w:name w:val="Body Text First Indent 2"/>
    <w:basedOn w:val="3"/>
    <w:qFormat/>
    <w:uiPriority w:val="0"/>
    <w:pPr>
      <w:tabs>
        <w:tab w:val="left" w:pos="3040"/>
      </w:tabs>
      <w:ind w:firstLine="420" w:firstLineChars="200"/>
    </w:pPr>
  </w:style>
  <w:style w:type="paragraph" w:styleId="3">
    <w:name w:val="Body Text Indent"/>
    <w:basedOn w:val="1"/>
    <w:next w:val="4"/>
    <w:qFormat/>
    <w:uiPriority w:val="99"/>
    <w:pPr>
      <w:tabs>
        <w:tab w:val="left" w:pos="3040"/>
      </w:tabs>
      <w:ind w:firstLine="645"/>
    </w:pPr>
    <w:rPr>
      <w:kern w:val="0"/>
      <w:sz w:val="20"/>
    </w:rPr>
  </w:style>
  <w:style w:type="paragraph" w:styleId="4">
    <w:name w:val="Body Text"/>
    <w:basedOn w:val="1"/>
    <w:next w:val="1"/>
    <w:qFormat/>
    <w:uiPriority w:val="0"/>
    <w:pPr>
      <w:widowControl w:val="0"/>
      <w:spacing w:before="0" w:after="120"/>
      <w:ind w:left="0" w:right="0"/>
      <w:jc w:val="both"/>
    </w:pPr>
    <w:rPr>
      <w:rFonts w:ascii="Calibri" w:hAnsi="Calibri" w:eastAsia="宋体" w:cs="Calibri"/>
      <w:kern w:val="2"/>
      <w:sz w:val="21"/>
      <w:szCs w:val="24"/>
      <w:lang w:val="en-US" w:eastAsia="zh-CN" w:bidi="ar-SA"/>
    </w:rPr>
  </w:style>
  <w:style w:type="paragraph" w:styleId="8">
    <w:name w:val="Normal Indent"/>
    <w:basedOn w:val="1"/>
    <w:next w:val="9"/>
    <w:qFormat/>
    <w:uiPriority w:val="0"/>
    <w:pPr>
      <w:ind w:firstLine="200" w:firstLineChars="200"/>
    </w:pPr>
    <w:rPr>
      <w:rFonts w:eastAsia="楷体_GB2312"/>
    </w:rPr>
  </w:style>
  <w:style w:type="paragraph" w:styleId="9">
    <w:name w:val="index 5"/>
    <w:basedOn w:val="1"/>
    <w:next w:val="1"/>
    <w:qFormat/>
    <w:uiPriority w:val="0"/>
    <w:pPr>
      <w:ind w:left="1680"/>
    </w:pPr>
  </w:style>
  <w:style w:type="paragraph" w:styleId="10">
    <w:name w:val="Balloon Text"/>
    <w:basedOn w:val="1"/>
    <w:link w:val="17"/>
    <w:unhideWhenUsed/>
    <w:uiPriority w:val="99"/>
    <w:rPr>
      <w:sz w:val="18"/>
      <w:szCs w:val="18"/>
    </w:rPr>
  </w:style>
  <w:style w:type="paragraph" w:styleId="11">
    <w:name w:val="footer"/>
    <w:basedOn w:val="1"/>
    <w:link w:val="18"/>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toc 4"/>
    <w:basedOn w:val="1"/>
    <w:next w:val="1"/>
    <w:qFormat/>
    <w:uiPriority w:val="0"/>
    <w:pPr>
      <w:ind w:left="0" w:leftChars="0" w:firstLine="1100" w:firstLineChars="250"/>
    </w:pPr>
    <w:rPr>
      <w:rFonts w:eastAsia="楷体_GB2312"/>
      <w:sz w:val="28"/>
    </w:rPr>
  </w:style>
  <w:style w:type="table" w:styleId="15">
    <w:name w:val="Table Grid"/>
    <w:basedOn w:val="14"/>
    <w:qFormat/>
    <w:uiPriority w:val="59"/>
    <w:tblPr>
      <w:tblStyle w:val="1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
    <w:name w:val="批注框文本 Char"/>
    <w:basedOn w:val="16"/>
    <w:link w:val="10"/>
    <w:semiHidden/>
    <w:qFormat/>
    <w:uiPriority w:val="99"/>
    <w:rPr>
      <w:rFonts w:ascii="Times New Roman" w:hAnsi="Times New Roman" w:eastAsia="仿宋_GB2312" w:cs="Times New Roman"/>
      <w:sz w:val="18"/>
      <w:szCs w:val="18"/>
    </w:rPr>
  </w:style>
  <w:style w:type="character" w:customStyle="1" w:styleId="18">
    <w:name w:val="页脚 Char"/>
    <w:basedOn w:val="16"/>
    <w:link w:val="11"/>
    <w:uiPriority w:val="99"/>
    <w:rPr>
      <w:rFonts w:ascii="Times New Roman" w:hAnsi="Times New Roman" w:eastAsia="仿宋_GB2312" w:cs="Times New Roman"/>
      <w:sz w:val="18"/>
      <w:szCs w:val="18"/>
    </w:rPr>
  </w:style>
  <w:style w:type="character" w:customStyle="1" w:styleId="19">
    <w:name w:val="页眉 Char"/>
    <w:basedOn w:val="16"/>
    <w:link w:val="12"/>
    <w:semiHidden/>
    <w:qFormat/>
    <w:uiPriority w:val="99"/>
    <w:rPr>
      <w:rFonts w:ascii="Times New Roman" w:hAnsi="Times New Roman" w:eastAsia="仿宋_GB2312" w:cs="Times New Roman"/>
      <w:sz w:val="18"/>
      <w:szCs w:val="18"/>
    </w:rPr>
  </w:style>
  <w:style w:type="paragraph" w:customStyle="1" w:styleId="20">
    <w:name w:val="Heading1"/>
    <w:basedOn w:val="1"/>
    <w:next w:val="1"/>
    <w:qFormat/>
    <w:uiPriority w:val="0"/>
    <w:pPr>
      <w:keepNext/>
      <w:keepLines/>
      <w:spacing w:line="576" w:lineRule="auto"/>
      <w:textAlignment w:val="baseline"/>
    </w:pPr>
    <w:rPr>
      <w:b/>
      <w:kern w:val="44"/>
      <w:sz w:val="44"/>
    </w:rPr>
  </w:style>
  <w:style w:type="character" w:customStyle="1" w:styleId="21">
    <w:name w:val="font15"/>
    <w:basedOn w:val="16"/>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150</Pages>
  <Words>16483</Words>
  <Characters>17167</Characters>
  <Lines>28</Lines>
  <Paragraphs>8</Paragraphs>
  <TotalTime>14.3333333333333</TotalTime>
  <ScaleCrop>false</ScaleCrop>
  <LinksUpToDate>false</LinksUpToDate>
  <CharactersWithSpaces>17401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2021-04-15T14:41:00Z</dcterms:created>
  <dc:creator>Z01</dc:creator>
  <cp:lastModifiedBy>大型食肉宠物</cp:lastModifiedBy>
  <cp:lastPrinted>2026-04-29T14:33:10Z</cp:lastPrinted>
  <dcterms:modified xsi:type="dcterms:W3CDTF">2026-05-13T03:14:22Z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0E05E86E66854B888377C82FE6F26B61_13</vt:lpwstr>
  </property>
  <property fmtid="{D5CDD505-2E9C-101B-9397-08002B2CF9AE}" pid="4" name="KSOTemplateDocerSaveRecord">
    <vt:lpwstr>eyJoZGlkIjoiN2FjZGMwZDhiOTY2N2VlMTU1ODA1ZDE0ODExMWRhNDAiLCJ1c2VySWQiOiI1ODI5NzEwNjkifQ==</vt:lpwstr>
  </property>
</Properties>
</file>