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left="0" w:right="0"/>
        <w:jc w:val="center"/>
      </w:pPr>
      <w:bookmarkStart w:id="0" w:name="_GoBack"/>
      <w:r>
        <w:rPr>
          <w:rFonts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汉台区取消的行政事权目录（共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2</w:t>
      </w:r>
      <w:r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项）</w:t>
      </w:r>
    </w:p>
    <w:bookmarkEnd w:id="0"/>
    <w:tbl>
      <w:tblPr>
        <w:tblStyle w:val="2"/>
        <w:tblW w:w="15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690"/>
        <w:gridCol w:w="1180"/>
        <w:gridCol w:w="1260"/>
        <w:gridCol w:w="4280"/>
        <w:gridCol w:w="3820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"/>
              </w:rPr>
              <w:t>事项名称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"/>
              </w:rPr>
              <w:t>原审批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"/>
              </w:rPr>
              <w:t>部门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"/>
              </w:rPr>
              <w:t>事项类别</w:t>
            </w:r>
          </w:p>
        </w:tc>
        <w:tc>
          <w:tcPr>
            <w:tcW w:w="4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"/>
              </w:rPr>
              <w:t>设定依据</w:t>
            </w:r>
          </w:p>
        </w:tc>
        <w:tc>
          <w:tcPr>
            <w:tcW w:w="3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"/>
              </w:rPr>
              <w:t>取消、（委托）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"/>
              </w:rPr>
              <w:t>下放实施依据</w:t>
            </w: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"/>
              </w:rPr>
              <w:t>事中事后监管措施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重点国有林区和出省木材运输证核发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市林业局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4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 w:firstLine="420" w:firstLineChars="20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《中华人民共和国森林法》（2009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年修订）第三十七条；《陕西省森林管理条例》（2004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日修订）第四十一条。</w:t>
            </w:r>
          </w:p>
        </w:tc>
        <w:tc>
          <w:tcPr>
            <w:tcW w:w="3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 w:firstLine="420" w:firstLineChars="20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《中华人民共和国森林法》（2019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日修订，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日实施）。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 w:firstLine="420" w:firstLineChars="20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国家林业和草原局《关于贯彻实施新修订森林法》的通知（林办发2020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］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号）。</w:t>
            </w: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 w:firstLine="420" w:firstLineChars="20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由汉台区林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业局负责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核查木材合法来源。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2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养老机构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设立许可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市民政局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4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 w:firstLine="420" w:firstLineChars="20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《中华人民共和国老年人权益保障法》（1996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29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日第八届全国人民代表大会常务委员会第二十一次会议通过，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2009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27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日第十一届全国人民代表大会常务委员会第十次会议《全国人民代表大会常务委员会关于废止部分法律的决定》、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24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日第十二届全国人民代表大会常务委员会第十四次会议《全国人民代表大会常务委员会关于修改＜中华人民共和国电力法＞等六部法律的决定》予以修正）第四十四条。</w:t>
            </w:r>
          </w:p>
        </w:tc>
        <w:tc>
          <w:tcPr>
            <w:tcW w:w="3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 w:firstLine="420" w:firstLineChars="20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《中华人民共和国老年人权益保障法》（2018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月修订）第四十三条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设立公益性养老机构，应当依法办理相应的登记。养老机构登记后即可开展服务活动，并向县级以上人民政府民政部门备案。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 w:firstLine="420" w:firstLineChars="20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民政部关于贯彻落实新修改的《中华人民共和国老年人权益保障法》的通知（民函（2019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］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号）。</w:t>
            </w: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 w:firstLine="420" w:firstLineChars="20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由汉台区民政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局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负责养老机构的指导、监督和管理，其他有关部门依照职责分工对养老机构实施监督。</w:t>
            </w:r>
          </w:p>
        </w:tc>
      </w:tr>
    </w:tbl>
    <w:p/>
    <w:sectPr>
      <w:pgSz w:w="16838" w:h="11906" w:orient="landscape"/>
      <w:pgMar w:top="1179" w:right="340" w:bottom="1293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E63D0"/>
    <w:rsid w:val="04A951CF"/>
    <w:rsid w:val="0F9B76EE"/>
    <w:rsid w:val="3B7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2021-05-07T03:29:00Z</dcterms:created>
  <dc:creator>大型食肉宠物</dc:creator>
  <cp:lastModifiedBy>大型食肉宠物</cp:lastModifiedBy>
  <dcterms:modified xsi:type="dcterms:W3CDTF">2021-05-07T03:31:37Z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