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</w:pPr>
      <w:r>
        <w:t>附件2</w:t>
      </w:r>
      <w:bookmarkStart w:id="0" w:name="_GoBack"/>
      <w:bookmarkEnd w:id="0"/>
    </w:p>
    <w:p>
      <w:pPr>
        <w:widowControl/>
        <w:adjustRightInd w:val="0"/>
        <w:snapToGrid w:val="0"/>
        <w:spacing w:line="240" w:lineRule="exact"/>
        <w:rPr>
          <w:rFonts w:ascii="宋体" w:hAnsi="宋体" w:eastAsia="宋体" w:cs="宋体"/>
          <w:b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77"/>
        <w:gridCol w:w="1055"/>
        <w:gridCol w:w="2688"/>
        <w:gridCol w:w="3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  <w:t>汉台区老旧小区改造内容及标准表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范围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类别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改造内容</w:t>
            </w: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改造标准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完善基础配套设施</w:t>
            </w:r>
          </w:p>
        </w:tc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管网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管线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改造影响使用功能的老化管网管线。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保障管网管线正常使用功能。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有条件的实施雨污分流。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合理规划设计，全面维修疏通，保障管道畅通，符合使用年限要求，兼顾“海绵城市”建设相关要求。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改造化粪池。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疏通清淤，修缮清掏，新建设施需符合国家规范。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接入天然气设施。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合理规划设置，保证使用质量和安全，符合行业标准。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光纤入户。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合理规划，实现三网融合。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对具备实施条件、群众意见统一且具备出资能力的，实施集中供暖。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合理规划设置，保证使用质量和安全，符合行业标准。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道路及附属设施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修补破损道路、道沿，更换破损井盖。</w:t>
            </w:r>
          </w:p>
        </w:tc>
        <w:tc>
          <w:tcPr>
            <w:tcW w:w="3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路面平整，铺装完好，材料耐久、防滑，兼顾“海绵城市”建设相关要求。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修补破损人行道。</w:t>
            </w:r>
          </w:p>
        </w:tc>
        <w:tc>
          <w:tcPr>
            <w:tcW w:w="3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配套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设施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新建完善智慧安防、消防及照明设施。增加视频监控等设施。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实现小区公共区域监控设置到位，消防设施布局合理、消防通道畅通，照明设施布置合理，照明适度。视频监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控达到智慧安防小区建设基本级要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根据实际，配套物业门卫室，视频监控室，更换单元门。</w:t>
            </w:r>
          </w:p>
        </w:tc>
        <w:tc>
          <w:tcPr>
            <w:tcW w:w="3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有效保障居民安全。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有条件的设置小区大门、人行门禁及停车道闸。</w:t>
            </w:r>
          </w:p>
        </w:tc>
        <w:tc>
          <w:tcPr>
            <w:tcW w:w="3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根据小区实际建设生态车位、立体车库，设置充电设施。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充分利用小区空间，合理布局；新建建筑手续齐全，并符合国家行业标准。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修缮或新建车棚、门房及社区、物业用房。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根据小区需求，合理规划相应规模，满足居民使用要求；新建建筑手续齐全，并符合国家行业标准。</w:t>
            </w:r>
          </w:p>
        </w:tc>
      </w:tr>
    </w:tbl>
    <w:p>
      <w:pPr>
        <w:widowControl/>
        <w:adjustRightInd w:val="0"/>
        <w:snapToGrid w:val="0"/>
        <w:spacing w:line="380" w:lineRule="atLeast"/>
        <w:rPr>
          <w:rFonts w:ascii="宋体" w:hAnsi="宋体" w:eastAsia="宋体" w:cs="宋体"/>
          <w:kern w:val="0"/>
          <w:sz w:val="22"/>
          <w:szCs w:val="2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0" w:footer="1304" w:gutter="0"/>
          <w:cols w:space="720" w:num="1"/>
          <w:docGrid w:type="linesAndChars" w:linePitch="579" w:charSpace="-849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77"/>
        <w:gridCol w:w="1055"/>
        <w:gridCol w:w="2688"/>
        <w:gridCol w:w="3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提升房屋质量及居住功能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维修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加固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对需要维修的住宅进行安全监测并加固。</w:t>
            </w: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加固完成后经检测达到设计要求。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建筑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风貌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整治建筑外立面，有条件的实施屋面“平改坡”。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与周边环境向协调，满足城市整体规划，结构安全及使用耐久满足行业相关规定。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清理整治防护网及雨棚，设置防攀爬网。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做到应拆尽拆，加大对重点区域，主干道两侧及影响城市形象的小区拆除力度。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居住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功能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实施建筑节能改造，维修屋面防水。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能效提升及节能率不少于30%。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整洁楼道墙面，维修楼梯扶手及楼道灯。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保障楼道干净、整洁，管线布设有序。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维修更新楼道窗。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符合经济、美观、安全要求。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对有隐患的烟道实施改造。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消除烟道隐患。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对影响风貌的空调外机进行归置，增加隔离百叶。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合理规划，外观整洁，隔离百叶符合建筑风貌，考虑空调滴水管位置。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对具备实施条件、群众意见统一且具备出资能力的，实施加装电梯。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符合国家标准，选择对原结构影响小的结构形式，满足消防要求，确保电梯运行安全。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室内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改造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对具备实施条件，群众意见统一且承担改造资金的，可同步对室内老旧管网管线进行改造。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满足住户使用要求，保障管网管线设置安全、可靠。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9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改善小区景观环境</w:t>
            </w:r>
          </w:p>
        </w:tc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拆违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清障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拆迁小区内违法建设及乱搭乱建，疏通消防通道。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实现应拆尽拆。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清除小区垃圾、“僵尸车”，清理楼道堆积杂物及粘贴小广告。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解决小区“脏、乱、差”问题。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架空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线缆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规整线缆，拆除废弃线缆，实施线缆落地或桥架。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各类线缆尽量入地处理，不具备入地条件的做到杆线布局合理，统一规范。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环境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卫生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整治小区餐饮油烟等环境污染问题。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保障环境干净卫生，避免影响城市形象和居民健康。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合理设置生活垃圾投放点，推进生活垃圾分类。</w:t>
            </w: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按照相关规定及标准做好垃圾分类。</w:t>
            </w:r>
          </w:p>
        </w:tc>
      </w:tr>
    </w:tbl>
    <w:p>
      <w:pPr>
        <w:widowControl/>
        <w:adjustRightInd w:val="0"/>
        <w:snapToGrid w:val="0"/>
        <w:spacing w:line="380" w:lineRule="atLeast"/>
        <w:jc w:val="center"/>
        <w:rPr>
          <w:rFonts w:ascii="宋体" w:hAnsi="宋体" w:eastAsia="宋体" w:cs="宋体"/>
          <w:kern w:val="0"/>
          <w:sz w:val="22"/>
          <w:szCs w:val="22"/>
        </w:rPr>
        <w:sectPr>
          <w:footerReference r:id="rId5" w:type="default"/>
          <w:footerReference r:id="rId6" w:type="even"/>
          <w:pgSz w:w="11906" w:h="16838"/>
          <w:pgMar w:top="1905" w:right="1304" w:bottom="1701" w:left="1593" w:header="0" w:footer="1304" w:gutter="0"/>
          <w:cols w:space="720" w:num="1"/>
          <w:docGrid w:type="linesAndChars" w:linePitch="579" w:charSpace="-15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77"/>
        <w:gridCol w:w="1055"/>
        <w:gridCol w:w="2688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9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绿化</w:t>
            </w:r>
          </w:p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改造</w:t>
            </w:r>
          </w:p>
        </w:tc>
        <w:tc>
          <w:tcPr>
            <w:tcW w:w="268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合理补植绿化，增加植被数量。</w:t>
            </w:r>
          </w:p>
        </w:tc>
        <w:tc>
          <w:tcPr>
            <w:tcW w:w="3770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与小区原绿化结合，见缝插绿，布局合理，经济美观，尽可能选用本地常绿类树种。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小区</w:t>
            </w:r>
          </w:p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风貌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结合小区特点，改造大门围墙，有条件的实施文化墙、拆墙透绿。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风格统一，外形美观，符合区域特点。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对商户意见统一且具备出资能力的，规范小区内及沿街商业门头牌匾。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牌匾统一设计，风格、色调与建筑本体协调一致。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提升小区风貌，挖掘社区文化，设置宣传设施及标识标牌等。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合理规划宣传区域，位置醒目，方便居民阅览，宣传主题明确，符合社会主义核心价值观。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3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完善公共服务设施</w:t>
            </w:r>
          </w:p>
        </w:tc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服务</w:t>
            </w:r>
          </w:p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用房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结合实际，有条件的配套完善养老、幼托、文化、卫生等服务设施。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合理规划，符合具体设施对于周边环境的相关要求。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3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结合实际合理设置便利店、便民市场等。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规划合理，满足居民生活需求。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1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器材</w:t>
            </w:r>
          </w:p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设施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设置健身器材、儿童活动设施及休闲座椅等。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合理规划，根据小区规模确定用量，充分满足居民使用要求，并符合国家规范要求。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1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完善无障碍及适老化设施。</w:t>
            </w:r>
          </w:p>
        </w:tc>
        <w:tc>
          <w:tcPr>
            <w:tcW w:w="3770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满足弱势人群使用需求，新增设施应符合国家相关规定。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eastAsia="仿宋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26908987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ind w:firstLine="7700" w:firstLineChars="2750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13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26909107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ind w:firstLine="280" w:firstLineChars="100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14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60"/>
                          </w:pP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</w:rPr>
                            <w:t>－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t>17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</w:rPr>
                            <w:t>－　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ind w:right="360"/>
                    </w:pPr>
                    <w:r>
                      <w:rPr>
                        <w:rFonts w:hint="eastAsia" w:ascii="宋体" w:hAnsi="宋体" w:eastAsia="宋体"/>
                        <w:kern w:val="0"/>
                        <w:sz w:val="28"/>
                      </w:rPr>
                      <w:t>－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t>17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kern w:val="0"/>
                        <w:sz w:val="28"/>
                      </w:rPr>
                      <w:t>－　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60"/>
                          </w:pP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</w:rPr>
                            <w:t>　－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t>18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ind w:right="360"/>
                    </w:pPr>
                    <w:r>
                      <w:rPr>
                        <w:rFonts w:hint="eastAsia" w:ascii="宋体" w:hAnsi="宋体" w:eastAsia="宋体"/>
                        <w:kern w:val="0"/>
                        <w:sz w:val="28"/>
                      </w:rPr>
                      <w:t>　－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t>18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kern w:val="0"/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3054249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ind w:firstLine="7980" w:firstLineChars="2850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866BF"/>
    <w:rsid w:val="04A951CF"/>
    <w:rsid w:val="0F9B76EE"/>
    <w:rsid w:val="4EF8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2020-11-23T06:51:00Z</dcterms:created>
  <dc:creator>大型食肉宠物</dc:creator>
  <cp:lastModifiedBy>大型食肉宠物</cp:lastModifiedBy>
  <dcterms:modified xsi:type="dcterms:W3CDTF">2020-11-23T06:52:21Z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