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cs="黑体"/>
        </w:rPr>
      </w:pPr>
      <w:r>
        <w:rPr>
          <w:rFonts w:hint="eastAsia" w:ascii="仿宋_GB2312" w:hAnsi="黑体" w:cs="黑体"/>
        </w:rPr>
        <w:t>附件</w:t>
      </w:r>
    </w:p>
    <w:p>
      <w:pPr>
        <w:spacing w:line="500" w:lineRule="exact"/>
        <w:ind w:firstLine="872" w:firstLineChars="200"/>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汉台区常办许可事项并联审批协同任务清单（第一批）</w:t>
      </w:r>
    </w:p>
    <w:bookmarkEnd w:id="0"/>
    <w:p>
      <w:pPr>
        <w:spacing w:line="560" w:lineRule="exact"/>
        <w:ind w:firstLine="952" w:firstLineChars="200"/>
        <w:jc w:val="center"/>
        <w:rPr>
          <w:rFonts w:ascii="方正小标宋简体" w:hAnsi="方正小标宋简体" w:eastAsia="方正小标宋简体" w:cs="方正小标宋简体"/>
          <w:sz w:val="48"/>
          <w:szCs w:val="48"/>
        </w:rPr>
      </w:pPr>
    </w:p>
    <w:tbl>
      <w:tblPr>
        <w:tblStyle w:val="8"/>
        <w:tblW w:w="21391" w:type="dxa"/>
        <w:jc w:val="center"/>
        <w:tblLayout w:type="autofit"/>
        <w:tblCellMar>
          <w:top w:w="0" w:type="dxa"/>
          <w:left w:w="0" w:type="dxa"/>
          <w:bottom w:w="0" w:type="dxa"/>
          <w:right w:w="0" w:type="dxa"/>
        </w:tblCellMar>
      </w:tblPr>
      <w:tblGrid>
        <w:gridCol w:w="510"/>
        <w:gridCol w:w="4409"/>
        <w:gridCol w:w="4601"/>
        <w:gridCol w:w="8430"/>
        <w:gridCol w:w="1624"/>
        <w:gridCol w:w="1817"/>
      </w:tblGrid>
      <w:tr>
        <w:tblPrEx>
          <w:tblCellMar>
            <w:top w:w="0" w:type="dxa"/>
            <w:left w:w="0" w:type="dxa"/>
            <w:bottom w:w="0" w:type="dxa"/>
            <w:right w:w="0" w:type="dxa"/>
          </w:tblCellMar>
        </w:tblPrEx>
        <w:trPr>
          <w:trHeight w:val="1020" w:hRule="atLeast"/>
          <w:tblHeader/>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序号</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常办许可事项名称</w:t>
            </w:r>
          </w:p>
        </w:tc>
        <w:tc>
          <w:tcPr>
            <w:tcW w:w="460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配合部门</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配合部门出具的材料及形式要求</w:t>
            </w:r>
          </w:p>
        </w:tc>
        <w:tc>
          <w:tcPr>
            <w:tcW w:w="162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事项类别</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szCs w:val="24"/>
              </w:rPr>
              <w:t>配合部门是否授权进驻区政务服务中心办理</w:t>
            </w:r>
          </w:p>
        </w:tc>
      </w:tr>
      <w:tr>
        <w:tblPrEx>
          <w:tblCellMar>
            <w:top w:w="0" w:type="dxa"/>
            <w:left w:w="0" w:type="dxa"/>
            <w:bottom w:w="0" w:type="dxa"/>
            <w:right w:w="0" w:type="dxa"/>
          </w:tblCellMar>
        </w:tblPrEx>
        <w:trPr>
          <w:trHeight w:val="619" w:hRule="atLeast"/>
          <w:jc w:val="center"/>
        </w:trPr>
        <w:tc>
          <w:tcPr>
            <w:tcW w:w="5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44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民办职业培训学校设立、分立、合并、变更及终止审批</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w:t>
            </w:r>
          </w:p>
        </w:tc>
        <w:tc>
          <w:tcPr>
            <w:tcW w:w="84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区住建局出具建设工程消防验收意见书。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19"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4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劳务派遣经营许可</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区市场监管局（区政务服务中心三楼企业注册登记窗口）出具企业名称预先核准通知书或办理营业执照，营业执照上公司名称必须含有“劳务派遣”或“人力资源”字样,经营范围中含有“劳务派遣”。</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822"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4409" w:type="dxa"/>
            <w:vMerge w:val="restart"/>
            <w:tcBorders>
              <w:top w:val="single" w:color="000000" w:sz="4" w:space="0"/>
              <w:left w:val="nil"/>
              <w:bottom w:val="nil"/>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实施中等以下学历教育、学前教育、自学考试、助学及其他文化教育学校的设立、变更和终止审批（民办幼儿园审批许可）</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区市场监管局（区政务服务中心三楼企业注册登记窗口）对营利性幼儿园出具名称预先审核初步意见。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6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法定代表人（举办者）户籍所在地公安机关</w:t>
            </w:r>
          </w:p>
        </w:tc>
        <w:tc>
          <w:tcPr>
            <w:tcW w:w="8430"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法定代表人（举办者）户籍所在地派出所出具法定代表人（举办者）的无犯罪记录证明。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区住建局出具消防设计和验收意见。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19"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汉台区教体局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区教体局（后勤管理办公室）依据相关规定，出具《幼儿园食堂开伙意见书》。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69"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区行政审批局出具《许可事项并联审批工作函》后，区教体局组建专家队伍对新设立幼儿园进行现场评估及各项技术指标打分，出具现场审核书面结论。</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nil"/>
              <w:right w:val="nil"/>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汉台区卫健局（妇幼保健院）</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区妇幼保健院出具幼儿园卫生评价报告。</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1118"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实施中等以下学历教育、学前教育、自学考试、助学及其他文化教育学校的设立、变更和终止审批（民办教育培训机构）</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区市场监管局（区政务服务中心三楼企业注册登记窗口）对营利性的培训机构出具名称预先审核初步意见。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6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法定代表人（举办者）户籍所在地公安机关</w:t>
            </w:r>
          </w:p>
        </w:tc>
        <w:tc>
          <w:tcPr>
            <w:tcW w:w="84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法定代表人（举办者）户籍所在地派出所出具法定代表人（举办者）的无犯罪记录证明。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4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区住建局对场地面积300平米以上的出具消防设计和验收意见。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4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汉台区辖区派出所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辖区派出所对场地面积300平米以下的出具日常检查意见。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9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汉台区教体局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区行政审批局出具《许可事项联合现场勘验工作函》后，区教体局派员参加区行政审批局牵头组织的现场核查。</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联合现场勘验</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林业植物检疫证书核发</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区林业局组成专家组进行现场检疫及技术核查，核发产地检疫合格证。</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联合现场勘验</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林木种子生产经营许可证核发</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8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森林高火险期内进入森林高火险区许可</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8</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森林防火期内在森林防火区野外用火审批</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80" w:hRule="atLeast"/>
          <w:jc w:val="center"/>
        </w:trPr>
        <w:tc>
          <w:tcPr>
            <w:tcW w:w="51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9</w:t>
            </w:r>
          </w:p>
        </w:tc>
        <w:tc>
          <w:tcPr>
            <w:tcW w:w="4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林木采伐许可</w:t>
            </w:r>
          </w:p>
        </w:tc>
        <w:tc>
          <w:tcPr>
            <w:tcW w:w="4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区林业局出具《上年度采伐更新验收证明》。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62" w:hRule="atLeast"/>
          <w:jc w:val="center"/>
        </w:trPr>
        <w:tc>
          <w:tcPr>
            <w:tcW w:w="51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区林业局出具《不在自然保护地的证明》。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02" w:hRule="atLeast"/>
          <w:jc w:val="center"/>
        </w:trPr>
        <w:tc>
          <w:tcPr>
            <w:tcW w:w="51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区林业局出具关于国有林场采伐作业设计的批复。</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1200" w:hRule="atLeast"/>
          <w:jc w:val="center"/>
        </w:trPr>
        <w:tc>
          <w:tcPr>
            <w:tcW w:w="51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结论涉及林地类型、保护等级、森林类别、是否为水源涵养区、是否为秦岭生态保护区及其所属保护区级别、是否符合采伐条件。</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02"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10</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临时占用林地审批</w:t>
            </w:r>
          </w:p>
        </w:tc>
        <w:tc>
          <w:tcPr>
            <w:tcW w:w="46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区林业局出具收取植被恢复费票据。</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6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区林业局对临时使用林地可行性出具审核意见。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12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结论涉及林地类型、保护等级、森林类别、是否为水源涵养区、是否为秦岭生态保护区及其所属保护区级别、是否符合临时占用条件。</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3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汉台区发改局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区发改局出具项目建设审查意见、批复等。</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3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临时占用森林公园范围内林地的，出具上级森林公园主管部门的批准意见。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0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11</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森林经营单位修筑直接为林业生产服务的工程设施占用林地审批</w:t>
            </w:r>
          </w:p>
        </w:tc>
        <w:tc>
          <w:tcPr>
            <w:tcW w:w="46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区行政审批局出具《许可事项并联审批工作函》，区林业局派专家组对临时使用除防护林和特种用途林以外的其他林地10公顷以下的进行现场核查、作业设计。</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121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结论涉及林地类型、保护等级、森林类别、是否为水源涵养区、是否为秦岭生态保护区及其所属保护区级别、是否符合临时占用条件。</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379"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区林业局对使用林地可行性出具审查意见。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12</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猎捕非国家重点保护陆生野生动物狩猎证核发</w:t>
            </w:r>
          </w:p>
        </w:tc>
        <w:tc>
          <w:tcPr>
            <w:tcW w:w="4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8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13</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经营野生动物及其产品许可</w:t>
            </w: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14</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人工繁育省重点保护野生动物许可证核发</w:t>
            </w:r>
          </w:p>
        </w:tc>
        <w:tc>
          <w:tcPr>
            <w:tcW w:w="4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8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15</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运输、携带、邮寄一般保护野生动物及其产品出省境审批</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汉台区林业局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区行政审批局出具《许可事项并联审批工作函》，区林业局组成专家组对现场、技术、检疫环节进行核查，于限定时间内书面回复现场审查结论。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2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16</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县（区)级民办非企业单位成立、变更、注销登记及章程核准</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汉台区民政局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区民政局出具名称预先核准通知书。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4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业务主管单位</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在办理民办非企业单位成立、变更、注销登记时，业务主管单位应出具同意成立、变更、注销的有文号的批复文件。                                                                 </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54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企业法定代表人（举办者）户籍所在地派出所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法定代表人（举办者）户籍所在地派出所出具法定代表人（举办者）无犯罪记录证明。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80" w:hRule="atLeast"/>
          <w:jc w:val="center"/>
        </w:trPr>
        <w:tc>
          <w:tcPr>
            <w:tcW w:w="51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17</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县（区)级社会团体成立、变更、注销登记及修改章程核准</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汉台区民政局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区民政局出具名称预先核准通知书。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42" w:hRule="atLeast"/>
          <w:jc w:val="center"/>
        </w:trPr>
        <w:tc>
          <w:tcPr>
            <w:tcW w:w="51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业务主管单位</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在办理社会团体成立、变更、注销登记时，业务主管单位应出具同意成立、变更、注销的需有文号的批复文件。                                                                     </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540" w:hRule="atLeast"/>
          <w:jc w:val="center"/>
        </w:trPr>
        <w:tc>
          <w:tcPr>
            <w:tcW w:w="51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企业法定代表人（举办者）户籍所在地派出所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法定代表人（举办者）户籍所在地派出所出具法定代表人（举办者）无犯罪记录证明。</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582"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18</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县级权限医疗机构执业许可审批</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医废中心或有代收代缴条件的医疗机构</w:t>
            </w:r>
          </w:p>
        </w:tc>
        <w:tc>
          <w:tcPr>
            <w:tcW w:w="8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申请人与医废中心或代收代缴医疗机构签订的《医废处理协议》。</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0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汉台区卫健局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区行政审批局出具《许可事项并联审批工作函》，区卫健局组成专家组对现场及技术环节进行核查，于限定时间内书面回复现场审查结论。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9" w:hRule="atLeast"/>
          <w:jc w:val="center"/>
        </w:trPr>
        <w:tc>
          <w:tcPr>
            <w:tcW w:w="5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19</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放射诊疗许可</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汉台区卫健局</w:t>
            </w:r>
          </w:p>
        </w:tc>
        <w:tc>
          <w:tcPr>
            <w:tcW w:w="8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区行政审批局出具《许可事项并联审批工作函》，区卫健局组成专家组对现场及技术环节进行核查，于限定时间内书面回复现场审查结论。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00" w:hRule="atLeast"/>
          <w:jc w:val="center"/>
        </w:trPr>
        <w:tc>
          <w:tcPr>
            <w:tcW w:w="5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20</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饮用水供水单位卫生许可</w:t>
            </w:r>
          </w:p>
        </w:tc>
        <w:tc>
          <w:tcPr>
            <w:tcW w:w="460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汉台区卫健局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区行政审批局出具《许可事项并联审批工作函》，区卫健局组成专家组对现场及技术环节进行核查，于限定时间内书面回复现场审查结论。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21</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动物防疫条件合格证核发</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79"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22</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动物诊疗许可证核发</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62"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23</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种畜禽生产经营许可证核发（禽蛋孵化场、商品代仔畜生产场）</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24</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蚕种生产、经营许可证审核</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汉台区农业农村局（蔬果站）</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区行政审批局出具《许可事项并联审批工作函》，区农业局（蔬果站）组成专家组对现场及技术环节进行核查，于限定时间内书面回复现场审查结论。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25</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农药经营许可</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汉台区农业农村局（农业综合执法大队）</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区行政审批局出具《许可事项并联审批工作函》，区农业局（农业综合执法大队）组成专家组对现场及技术环节进行核查，于限定时间内书面回复现场审查结论。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26</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农作物种子生产经营许可证核发</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汉台区农业农村局（种子站）</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区行政审批局出具《许可事项并联审批工作函》，区农业局（种子站）组成专家组对现场及技术环节进行核查，于限定时间内书面回复现场审查结论。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27</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生鲜乳收购许可</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28</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生鲜乳准运证明核发</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29</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兽药经营许可证核发</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汉台区农业农村局（畜牧中心）</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区行政审批局出具《许可事项并联审批工作函》，区农业局（畜牧中心）组成专家组对现场及技术环节进行核查，于限定时间内书面回复现场审查结论。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30</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食用菌栽培种生产经营许可证核发</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汉台区农业农村局（蔬果站）</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区行政审批局出具《许可事项并联审批工作函》，区农业局（蔬果站）组成专家组对现场及技术环节进行核查，于限定时间内书面回复现场审查结论。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31</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驯养繁殖水生野生动物许可证核发</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汉台区农业农村局（水产站）</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区行政审批局出具《许可事项并联审批工作函》，区农业局（水产站）组成专家组对现场及技术环节进行核查，于限定时间内书面回复现场审查结论。</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32</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出版物经营单位设立</w:t>
            </w: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区市场监管局（区政务服务中心三楼企业注册登记窗口）核发工商营业执照。</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73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33</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电影放映单位设立</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区市场监管局（区政务服务中心三楼企业注册登记窗口）核发工商营业执照。</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73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汉台区应急管理局（区消防救援大队）</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区应急管理局（区政务服务中心一楼15号消防窗口）核发《公众聚集场所投入使用、营业前消防安全检查合格证》。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73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汉台区委宣传部</w:t>
            </w:r>
          </w:p>
        </w:tc>
        <w:tc>
          <w:tcPr>
            <w:tcW w:w="8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区委宣传部进行影城建设预审备案（申请人在区审批局三楼综合窗口领取制式表格，按要求填报信息，持备案证明到区委宣传部、市委宣传部进行备案后，持备案证明到陕西省电影局进行备案核准）。</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3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34</w:t>
            </w: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互联网上网服务营业场所经营单位设立审批</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汉台区市场监管局</w:t>
            </w:r>
          </w:p>
        </w:tc>
        <w:tc>
          <w:tcPr>
            <w:tcW w:w="84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区市场监管局（区政务服务中心三楼企业注册登记窗口）核发工商营业执照。</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73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汉台区应急管理局（区消防救援大队）</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区应急管理局（区政务服务中心一楼15号窗口）核发《公众聚集场所投入使用、营业前消防安全检查合格证》。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73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市公安局汉台分局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公安汉台分局核发《陕西省互联网上网服务营业场所信息网络安全审核证》。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84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35</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营业性演出审批（室内）</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汉台区应急管理局（区消防救援大队）</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在娱乐场所或演出经营场所举办营业性演出活动的，区应急管理局（区政务服务中心一楼15号窗口）核发《公众聚集场所投入使用、营业前消防安全检查合格证》。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66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营业性演出审批（室外）</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汉台区应急管理局（区消防救援大队）</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申请临时搭建舞台、看台的营业性演出时，由区应急管理局（区政务服务中心一楼15号窗口）核发《公众聚集场所投入使用、营业前消防安全检查合格证》。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46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市公安局汉台分局</w:t>
            </w:r>
          </w:p>
        </w:tc>
        <w:tc>
          <w:tcPr>
            <w:tcW w:w="84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申请临时搭建舞台、看台的营业性演出时，由公安汉台分局出具安全批准文件。</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19"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36</w:t>
            </w:r>
          </w:p>
        </w:tc>
        <w:tc>
          <w:tcPr>
            <w:tcW w:w="44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娱乐场所从事娱乐经营活动审批</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区应急管理局（区政务服务中心一楼15号窗口）核发《公众聚集场所投入使用、营业前消防安全检查合格证》。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是</w:t>
            </w:r>
          </w:p>
        </w:tc>
      </w:tr>
      <w:tr>
        <w:tblPrEx>
          <w:tblCellMar>
            <w:top w:w="0" w:type="dxa"/>
            <w:left w:w="0" w:type="dxa"/>
            <w:bottom w:w="0" w:type="dxa"/>
            <w:right w:w="0" w:type="dxa"/>
          </w:tblCellMar>
        </w:tblPrEx>
        <w:trPr>
          <w:trHeight w:val="1002" w:hRule="atLeast"/>
          <w:jc w:val="center"/>
        </w:trPr>
        <w:tc>
          <w:tcPr>
            <w:tcW w:w="5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37</w:t>
            </w:r>
          </w:p>
        </w:tc>
        <w:tc>
          <w:tcPr>
            <w:tcW w:w="44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烟花爆竹经营（零售）许可</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汉台区应急管理局、公安汉台分局、区市场监管局、区供销社、属地镇办</w:t>
            </w:r>
          </w:p>
        </w:tc>
        <w:tc>
          <w:tcPr>
            <w:tcW w:w="84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区行政审批局出具《许可事项联合现场勘验工作函》，区应急管理局、公安汉台分局、区市场监管局、区供销社、属地镇办联合对烟花爆竹零售店进行现场勘验后填写审查书，出具审查意见。</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联合现场勘验</w:t>
            </w:r>
          </w:p>
        </w:tc>
        <w:tc>
          <w:tcPr>
            <w:tcW w:w="18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0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38</w:t>
            </w:r>
          </w:p>
        </w:tc>
        <w:tc>
          <w:tcPr>
            <w:tcW w:w="4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危险化学品（无仓储）经营许可</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汉台区应急管理局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区行政审批局出具《许可事项并联审批工作函》，区应急管理局组成专家组对现场及技术环节进行核查，于限定时间内书面回复现场审查结论，出具书面审查意见。</w:t>
            </w:r>
          </w:p>
        </w:tc>
        <w:tc>
          <w:tcPr>
            <w:tcW w:w="16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技术审查事项</w:t>
            </w:r>
          </w:p>
        </w:tc>
        <w:tc>
          <w:tcPr>
            <w:tcW w:w="181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0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39</w:t>
            </w:r>
          </w:p>
        </w:tc>
        <w:tc>
          <w:tcPr>
            <w:tcW w:w="440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建筑工程施工许可证核发</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汉中市不动产登记交易服务中心（区级无在市级办理）</w:t>
            </w:r>
          </w:p>
        </w:tc>
        <w:tc>
          <w:tcPr>
            <w:tcW w:w="84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汉中市不动产登记交易服务中心核发《不动产权证书》。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2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汉台区住建局（招标办）</w:t>
            </w:r>
          </w:p>
        </w:tc>
        <w:tc>
          <w:tcPr>
            <w:tcW w:w="8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区住建局（招标办）核发《汉中市建设工程中标通知书》。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39"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汉台区住建局（质监站）</w:t>
            </w:r>
          </w:p>
        </w:tc>
        <w:tc>
          <w:tcPr>
            <w:tcW w:w="8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区住建局（质监站）出具《建设工程质量安全监督手续办理通知单》。</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39"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汉台区住建局（统筹站）</w:t>
            </w:r>
          </w:p>
        </w:tc>
        <w:tc>
          <w:tcPr>
            <w:tcW w:w="84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区住建局（统筹站）开具建筑行业劳保费用统一征收费用发票。</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0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汉台区人社局（劳动监察大队）</w:t>
            </w:r>
          </w:p>
        </w:tc>
        <w:tc>
          <w:tcPr>
            <w:tcW w:w="8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区人社局（劳动监察大队）出具《汉台区农民工工资支付保证金预存确认书》。</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702"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市自然资源局汉台分局</w:t>
            </w:r>
          </w:p>
        </w:tc>
        <w:tc>
          <w:tcPr>
            <w:tcW w:w="8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由市自然资源局汉台分局核发《建设工程规划许可证》。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60" w:hRule="atLeast"/>
          <w:jc w:val="center"/>
        </w:trPr>
        <w:tc>
          <w:tcPr>
            <w:tcW w:w="510" w:type="dxa"/>
            <w:vMerge w:val="restar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40</w:t>
            </w:r>
          </w:p>
        </w:tc>
        <w:tc>
          <w:tcPr>
            <w:tcW w:w="440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人防工程易地建设审批</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市自然资源局汉台分局</w:t>
            </w:r>
          </w:p>
        </w:tc>
        <w:tc>
          <w:tcPr>
            <w:tcW w:w="84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由市自然资源局汉台分局出具建设项目用地预审意见（选址意见书）、规划抄告单、总平面规划图（盖鲜章）。</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480" w:hRule="atLeast"/>
          <w:jc w:val="center"/>
        </w:trPr>
        <w:tc>
          <w:tcPr>
            <w:tcW w:w="510"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汉台区住建局（人防办）</w:t>
            </w:r>
          </w:p>
        </w:tc>
        <w:tc>
          <w:tcPr>
            <w:tcW w:w="8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区住建局（人防办）出具易地建设费缴费回执凭证。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900" w:hRule="atLeast"/>
          <w:jc w:val="center"/>
        </w:trPr>
        <w:tc>
          <w:tcPr>
            <w:tcW w:w="510" w:type="dxa"/>
            <w:vMerge w:val="restar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41</w:t>
            </w:r>
          </w:p>
        </w:tc>
        <w:tc>
          <w:tcPr>
            <w:tcW w:w="4409"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人民防空工程建设审批</w:t>
            </w:r>
          </w:p>
        </w:tc>
        <w:tc>
          <w:tcPr>
            <w:tcW w:w="4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市自然资源局汉台分局</w:t>
            </w:r>
          </w:p>
        </w:tc>
        <w:tc>
          <w:tcPr>
            <w:tcW w:w="84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由市自然资源局汉台分局出具建设项目用地预审意见（选址意见书）、规划抄告单、总平面规划图（盖鲜章）。</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582" w:hRule="atLeast"/>
          <w:jc w:val="center"/>
        </w:trPr>
        <w:tc>
          <w:tcPr>
            <w:tcW w:w="510"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汉台区住建局（人防办）</w:t>
            </w:r>
          </w:p>
        </w:tc>
        <w:tc>
          <w:tcPr>
            <w:tcW w:w="84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区住建局（人防办）出具人防质量监督备案、竣工验收备案意见。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r>
        <w:tblPrEx>
          <w:tblCellMar>
            <w:top w:w="0" w:type="dxa"/>
            <w:left w:w="0" w:type="dxa"/>
            <w:bottom w:w="0" w:type="dxa"/>
            <w:right w:w="0" w:type="dxa"/>
          </w:tblCellMar>
        </w:tblPrEx>
        <w:trPr>
          <w:trHeight w:val="600" w:hRule="atLeast"/>
          <w:jc w:val="center"/>
        </w:trPr>
        <w:tc>
          <w:tcPr>
            <w:tcW w:w="510"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360" w:lineRule="exact"/>
              <w:jc w:val="center"/>
              <w:rPr>
                <w:rFonts w:ascii="宋体" w:hAnsi="宋体" w:eastAsia="宋体" w:cs="宋体"/>
                <w:color w:val="000000"/>
                <w:sz w:val="24"/>
              </w:rPr>
            </w:pPr>
          </w:p>
        </w:tc>
        <w:tc>
          <w:tcPr>
            <w:tcW w:w="440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left"/>
              <w:rPr>
                <w:rFonts w:ascii="宋体" w:hAnsi="宋体" w:eastAsia="宋体" w:cs="宋体"/>
                <w:color w:val="000000"/>
                <w:sz w:val="24"/>
              </w:rPr>
            </w:pPr>
          </w:p>
        </w:tc>
        <w:tc>
          <w:tcPr>
            <w:tcW w:w="46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rPr>
                <w:rFonts w:ascii="宋体" w:hAnsi="宋体" w:eastAsia="宋体" w:cs="宋体"/>
                <w:color w:val="000000"/>
                <w:sz w:val="24"/>
              </w:rPr>
            </w:pPr>
          </w:p>
        </w:tc>
        <w:tc>
          <w:tcPr>
            <w:tcW w:w="8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对特殊项目、历史遗留项目等，需人防部门责令建设单位限期修建、补建，给予警告或行政处罚的，人防部门出具书面意见。</w:t>
            </w:r>
          </w:p>
        </w:tc>
        <w:tc>
          <w:tcPr>
            <w:tcW w:w="16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许可前置事项</w:t>
            </w:r>
          </w:p>
        </w:tc>
        <w:tc>
          <w:tcPr>
            <w:tcW w:w="1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否</w:t>
            </w:r>
          </w:p>
        </w:tc>
      </w:tr>
    </w:tbl>
    <w:p>
      <w:pPr>
        <w:ind w:firstLine="276" w:firstLineChars="100"/>
        <w:rPr>
          <w:rFonts w:hint="eastAsia" w:eastAsia="仿宋_GB2312"/>
          <w:sz w:val="28"/>
          <w:szCs w:val="28"/>
          <w:lang w:val="en-US" w:eastAsia="zh-CN"/>
        </w:rPr>
      </w:pPr>
    </w:p>
    <w:sectPr>
      <w:footerReference r:id="rId3" w:type="default"/>
      <w:footerReference r:id="rId4" w:type="even"/>
      <w:pgSz w:w="23757" w:h="16783" w:orient="landscape"/>
      <w:pgMar w:top="283" w:right="567" w:bottom="283" w:left="283"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542499"/>
      <w:docPartObj>
        <w:docPartGallery w:val="AutoText"/>
      </w:docPartObj>
    </w:sdtPr>
    <w:sdtEndPr>
      <w:rPr>
        <w:sz w:val="28"/>
        <w:szCs w:val="28"/>
      </w:rPr>
    </w:sdtEndPr>
    <w:sdtContent>
      <w:p>
        <w:pPr>
          <w:pStyle w:val="5"/>
          <w:ind w:firstLine="7980" w:firstLineChars="285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542485"/>
      <w:docPartObj>
        <w:docPartGallery w:val="AutoText"/>
      </w:docPartObj>
    </w:sdtPr>
    <w:sdtEndPr>
      <w:rPr>
        <w:sz w:val="28"/>
        <w:szCs w:val="28"/>
      </w:rPr>
    </w:sdtEndPr>
    <w:sdtContent>
      <w:p>
        <w:pPr>
          <w:pStyle w:val="5"/>
          <w:ind w:firstLine="280" w:firstLineChars="10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C1"/>
    <w:rsid w:val="00001DC3"/>
    <w:rsid w:val="00001E4F"/>
    <w:rsid w:val="00016061"/>
    <w:rsid w:val="00024904"/>
    <w:rsid w:val="000327C2"/>
    <w:rsid w:val="00062929"/>
    <w:rsid w:val="000913B2"/>
    <w:rsid w:val="00095F3E"/>
    <w:rsid w:val="000B3F82"/>
    <w:rsid w:val="000B4B19"/>
    <w:rsid w:val="000C0C70"/>
    <w:rsid w:val="000E0A46"/>
    <w:rsid w:val="000E6244"/>
    <w:rsid w:val="000F16FF"/>
    <w:rsid w:val="00116502"/>
    <w:rsid w:val="00137029"/>
    <w:rsid w:val="00150E47"/>
    <w:rsid w:val="001538EF"/>
    <w:rsid w:val="00154F31"/>
    <w:rsid w:val="00165C8B"/>
    <w:rsid w:val="00176DE1"/>
    <w:rsid w:val="00196AA3"/>
    <w:rsid w:val="001A4AD3"/>
    <w:rsid w:val="001A5948"/>
    <w:rsid w:val="001A663D"/>
    <w:rsid w:val="001D07E1"/>
    <w:rsid w:val="001D3743"/>
    <w:rsid w:val="001F21F2"/>
    <w:rsid w:val="001F4D49"/>
    <w:rsid w:val="00202B18"/>
    <w:rsid w:val="00207BF8"/>
    <w:rsid w:val="00237429"/>
    <w:rsid w:val="00256090"/>
    <w:rsid w:val="00262A15"/>
    <w:rsid w:val="00262D53"/>
    <w:rsid w:val="00267E7C"/>
    <w:rsid w:val="002708A5"/>
    <w:rsid w:val="00276A0E"/>
    <w:rsid w:val="00294629"/>
    <w:rsid w:val="002A4172"/>
    <w:rsid w:val="002A57FF"/>
    <w:rsid w:val="002B20BE"/>
    <w:rsid w:val="002B246F"/>
    <w:rsid w:val="002B3C77"/>
    <w:rsid w:val="003039DA"/>
    <w:rsid w:val="0030631A"/>
    <w:rsid w:val="00340ED2"/>
    <w:rsid w:val="003639C1"/>
    <w:rsid w:val="0036487A"/>
    <w:rsid w:val="00381A6D"/>
    <w:rsid w:val="003879E5"/>
    <w:rsid w:val="00395806"/>
    <w:rsid w:val="003A5AEC"/>
    <w:rsid w:val="003E0E5D"/>
    <w:rsid w:val="003E5D80"/>
    <w:rsid w:val="004101CC"/>
    <w:rsid w:val="00425E00"/>
    <w:rsid w:val="0043545D"/>
    <w:rsid w:val="00444F8E"/>
    <w:rsid w:val="0045453F"/>
    <w:rsid w:val="00463AAB"/>
    <w:rsid w:val="00474F32"/>
    <w:rsid w:val="0047559B"/>
    <w:rsid w:val="00475A1D"/>
    <w:rsid w:val="004776A9"/>
    <w:rsid w:val="00482725"/>
    <w:rsid w:val="00485E12"/>
    <w:rsid w:val="00492969"/>
    <w:rsid w:val="00493318"/>
    <w:rsid w:val="0049527B"/>
    <w:rsid w:val="004A41F6"/>
    <w:rsid w:val="004A5FB3"/>
    <w:rsid w:val="004B4F31"/>
    <w:rsid w:val="004C2B31"/>
    <w:rsid w:val="004C3782"/>
    <w:rsid w:val="004D1A2B"/>
    <w:rsid w:val="004F1023"/>
    <w:rsid w:val="004F6629"/>
    <w:rsid w:val="005202B2"/>
    <w:rsid w:val="0053078E"/>
    <w:rsid w:val="00533104"/>
    <w:rsid w:val="00555042"/>
    <w:rsid w:val="005568B2"/>
    <w:rsid w:val="0055752E"/>
    <w:rsid w:val="00574176"/>
    <w:rsid w:val="00574660"/>
    <w:rsid w:val="005A191E"/>
    <w:rsid w:val="005B5AA3"/>
    <w:rsid w:val="005C0CE5"/>
    <w:rsid w:val="005C15EB"/>
    <w:rsid w:val="005D19B6"/>
    <w:rsid w:val="005D442F"/>
    <w:rsid w:val="005E50A4"/>
    <w:rsid w:val="005E5CFE"/>
    <w:rsid w:val="005F00F6"/>
    <w:rsid w:val="00606077"/>
    <w:rsid w:val="00611F79"/>
    <w:rsid w:val="00617C33"/>
    <w:rsid w:val="00621FAE"/>
    <w:rsid w:val="006223C3"/>
    <w:rsid w:val="00631527"/>
    <w:rsid w:val="0063352B"/>
    <w:rsid w:val="00644974"/>
    <w:rsid w:val="00645FA9"/>
    <w:rsid w:val="0065015C"/>
    <w:rsid w:val="00662D6D"/>
    <w:rsid w:val="00667FEB"/>
    <w:rsid w:val="0067060B"/>
    <w:rsid w:val="00680099"/>
    <w:rsid w:val="00685E8A"/>
    <w:rsid w:val="006943FB"/>
    <w:rsid w:val="00697DC6"/>
    <w:rsid w:val="006A56DB"/>
    <w:rsid w:val="006B7C17"/>
    <w:rsid w:val="006C5670"/>
    <w:rsid w:val="006E47F5"/>
    <w:rsid w:val="0071226A"/>
    <w:rsid w:val="00724AD8"/>
    <w:rsid w:val="0073108A"/>
    <w:rsid w:val="00752405"/>
    <w:rsid w:val="0075595B"/>
    <w:rsid w:val="007737A0"/>
    <w:rsid w:val="007825FA"/>
    <w:rsid w:val="00787764"/>
    <w:rsid w:val="007A0EBA"/>
    <w:rsid w:val="007B43D1"/>
    <w:rsid w:val="007D68DB"/>
    <w:rsid w:val="00804CFC"/>
    <w:rsid w:val="00813029"/>
    <w:rsid w:val="00827124"/>
    <w:rsid w:val="00827CCF"/>
    <w:rsid w:val="00835512"/>
    <w:rsid w:val="0083702C"/>
    <w:rsid w:val="00845F06"/>
    <w:rsid w:val="008514EF"/>
    <w:rsid w:val="00862B90"/>
    <w:rsid w:val="00875D27"/>
    <w:rsid w:val="008957FD"/>
    <w:rsid w:val="008B2CEF"/>
    <w:rsid w:val="008C25A7"/>
    <w:rsid w:val="008D60C4"/>
    <w:rsid w:val="008E082A"/>
    <w:rsid w:val="008E6E2D"/>
    <w:rsid w:val="009157A4"/>
    <w:rsid w:val="009167B1"/>
    <w:rsid w:val="00921C1C"/>
    <w:rsid w:val="0095178C"/>
    <w:rsid w:val="00962973"/>
    <w:rsid w:val="00970C33"/>
    <w:rsid w:val="00995DC0"/>
    <w:rsid w:val="009A756B"/>
    <w:rsid w:val="009A7C45"/>
    <w:rsid w:val="009C4478"/>
    <w:rsid w:val="009C71BC"/>
    <w:rsid w:val="009D18AF"/>
    <w:rsid w:val="009F6F4B"/>
    <w:rsid w:val="00A000FB"/>
    <w:rsid w:val="00A0171C"/>
    <w:rsid w:val="00A14D2A"/>
    <w:rsid w:val="00A24387"/>
    <w:rsid w:val="00A349E7"/>
    <w:rsid w:val="00A61DF1"/>
    <w:rsid w:val="00A62B59"/>
    <w:rsid w:val="00A840C1"/>
    <w:rsid w:val="00A87996"/>
    <w:rsid w:val="00A90FA2"/>
    <w:rsid w:val="00AC4F62"/>
    <w:rsid w:val="00AD192D"/>
    <w:rsid w:val="00B01F7D"/>
    <w:rsid w:val="00B04FC1"/>
    <w:rsid w:val="00B1785F"/>
    <w:rsid w:val="00B34064"/>
    <w:rsid w:val="00B406CC"/>
    <w:rsid w:val="00B47FDB"/>
    <w:rsid w:val="00B521B7"/>
    <w:rsid w:val="00B56622"/>
    <w:rsid w:val="00B62013"/>
    <w:rsid w:val="00B6258B"/>
    <w:rsid w:val="00B73239"/>
    <w:rsid w:val="00B9384D"/>
    <w:rsid w:val="00BA2549"/>
    <w:rsid w:val="00BA7B00"/>
    <w:rsid w:val="00BB19CC"/>
    <w:rsid w:val="00BC0FA4"/>
    <w:rsid w:val="00BD3EA4"/>
    <w:rsid w:val="00BE0C15"/>
    <w:rsid w:val="00BF0F5E"/>
    <w:rsid w:val="00C020F7"/>
    <w:rsid w:val="00C22BAE"/>
    <w:rsid w:val="00C337B3"/>
    <w:rsid w:val="00C33FCA"/>
    <w:rsid w:val="00C52F73"/>
    <w:rsid w:val="00C70EB2"/>
    <w:rsid w:val="00C77C16"/>
    <w:rsid w:val="00C97333"/>
    <w:rsid w:val="00CA4955"/>
    <w:rsid w:val="00CB1CBE"/>
    <w:rsid w:val="00CB2E1E"/>
    <w:rsid w:val="00CC242E"/>
    <w:rsid w:val="00CD171D"/>
    <w:rsid w:val="00CD3283"/>
    <w:rsid w:val="00CE0152"/>
    <w:rsid w:val="00D03FD3"/>
    <w:rsid w:val="00D07B5F"/>
    <w:rsid w:val="00D129A0"/>
    <w:rsid w:val="00D3151D"/>
    <w:rsid w:val="00D43DF4"/>
    <w:rsid w:val="00D51FE3"/>
    <w:rsid w:val="00D52CB5"/>
    <w:rsid w:val="00D54434"/>
    <w:rsid w:val="00D675AD"/>
    <w:rsid w:val="00D745D3"/>
    <w:rsid w:val="00D8560D"/>
    <w:rsid w:val="00D87C0F"/>
    <w:rsid w:val="00DA620F"/>
    <w:rsid w:val="00DA70EC"/>
    <w:rsid w:val="00DB0ECC"/>
    <w:rsid w:val="00DB1322"/>
    <w:rsid w:val="00DC3D68"/>
    <w:rsid w:val="00DC434D"/>
    <w:rsid w:val="00DC4ED3"/>
    <w:rsid w:val="00DC6135"/>
    <w:rsid w:val="00DC686B"/>
    <w:rsid w:val="00DD0EE9"/>
    <w:rsid w:val="00DD585B"/>
    <w:rsid w:val="00DE0E51"/>
    <w:rsid w:val="00DE4F2F"/>
    <w:rsid w:val="00E06E0E"/>
    <w:rsid w:val="00E23B0A"/>
    <w:rsid w:val="00E3327E"/>
    <w:rsid w:val="00E52EFB"/>
    <w:rsid w:val="00E575AB"/>
    <w:rsid w:val="00E61426"/>
    <w:rsid w:val="00E62720"/>
    <w:rsid w:val="00E62CCC"/>
    <w:rsid w:val="00E7711E"/>
    <w:rsid w:val="00EA3933"/>
    <w:rsid w:val="00EA516D"/>
    <w:rsid w:val="00EA580B"/>
    <w:rsid w:val="00EB7178"/>
    <w:rsid w:val="00EC0934"/>
    <w:rsid w:val="00EF141F"/>
    <w:rsid w:val="00EF3278"/>
    <w:rsid w:val="00F217E9"/>
    <w:rsid w:val="00F3206B"/>
    <w:rsid w:val="00F37036"/>
    <w:rsid w:val="00F50E7C"/>
    <w:rsid w:val="00F51FCA"/>
    <w:rsid w:val="00F66FE7"/>
    <w:rsid w:val="00F951D8"/>
    <w:rsid w:val="00FB1B97"/>
    <w:rsid w:val="00FB29E2"/>
    <w:rsid w:val="00FC0B70"/>
    <w:rsid w:val="00FC0FC0"/>
    <w:rsid w:val="00FC25F4"/>
    <w:rsid w:val="00FC7DE6"/>
    <w:rsid w:val="00FF0107"/>
    <w:rsid w:val="667D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8"/>
    <w:qFormat/>
    <w:uiPriority w:val="1"/>
    <w:pPr>
      <w:autoSpaceDE w:val="0"/>
      <w:autoSpaceDN w:val="0"/>
      <w:ind w:left="876" w:right="1025"/>
      <w:jc w:val="center"/>
      <w:outlineLvl w:val="0"/>
    </w:pPr>
    <w:rPr>
      <w:rFonts w:ascii="方正小标宋简体" w:hAnsi="方正小标宋简体" w:eastAsia="方正小标宋简体" w:cs="方正小标宋简体"/>
      <w:kern w:val="0"/>
      <w:sz w:val="44"/>
      <w:szCs w:val="44"/>
      <w:lang w:val="zh-CN" w:bidi="zh-CN"/>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semiHidden/>
    <w:unhideWhenUsed/>
    <w:uiPriority w:val="0"/>
    <w:rPr>
      <w:rFonts w:ascii="宋体" w:hAnsi="Courier New" w:eastAsia="宋体" w:cs="Courier New"/>
      <w:sz w:val="21"/>
      <w:szCs w:val="21"/>
    </w:rPr>
  </w:style>
  <w:style w:type="paragraph" w:styleId="4">
    <w:name w:val="Date"/>
    <w:basedOn w:val="1"/>
    <w:next w:val="1"/>
    <w:link w:val="16"/>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table" w:styleId="9">
    <w:name w:val="Table Grid"/>
    <w:basedOn w:val="8"/>
    <w:qFormat/>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themeColor="hyperlink"/>
      <w:u w:val="single"/>
    </w:rPr>
  </w:style>
  <w:style w:type="character" w:customStyle="1" w:styleId="12">
    <w:name w:val="纯文本 Char"/>
    <w:basedOn w:val="10"/>
    <w:link w:val="3"/>
    <w:semiHidden/>
    <w:uiPriority w:val="0"/>
    <w:rPr>
      <w:rFonts w:ascii="宋体" w:hAnsi="Courier New" w:eastAsia="宋体" w:cs="Courier New"/>
      <w:sz w:val="21"/>
      <w:szCs w:val="21"/>
    </w:rPr>
  </w:style>
  <w:style w:type="character" w:customStyle="1" w:styleId="13">
    <w:name w:val="页眉 Char"/>
    <w:basedOn w:val="10"/>
    <w:link w:val="6"/>
    <w:semiHidden/>
    <w:uiPriority w:val="99"/>
    <w:rPr>
      <w:sz w:val="18"/>
      <w:szCs w:val="18"/>
    </w:rPr>
  </w:style>
  <w:style w:type="character" w:customStyle="1" w:styleId="14">
    <w:name w:val="页脚 Char"/>
    <w:basedOn w:val="10"/>
    <w:link w:val="5"/>
    <w:uiPriority w:val="99"/>
    <w:rPr>
      <w:sz w:val="18"/>
      <w:szCs w:val="18"/>
    </w:rPr>
  </w:style>
  <w:style w:type="paragraph" w:customStyle="1" w:styleId="15">
    <w:name w:val="Char"/>
    <w:basedOn w:val="1"/>
    <w:uiPriority w:val="0"/>
    <w:pPr>
      <w:widowControl/>
      <w:spacing w:after="160" w:line="240" w:lineRule="exact"/>
      <w:jc w:val="left"/>
    </w:pPr>
    <w:rPr>
      <w:rFonts w:eastAsia="宋体"/>
      <w:sz w:val="21"/>
      <w:szCs w:val="24"/>
    </w:rPr>
  </w:style>
  <w:style w:type="character" w:customStyle="1" w:styleId="16">
    <w:name w:val="日期 Char"/>
    <w:basedOn w:val="10"/>
    <w:link w:val="4"/>
    <w:semiHidden/>
    <w:uiPriority w:val="99"/>
  </w:style>
  <w:style w:type="paragraph" w:customStyle="1" w:styleId="17">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8">
    <w:name w:val="标题 1 Char"/>
    <w:basedOn w:val="10"/>
    <w:link w:val="2"/>
    <w:uiPriority w:val="1"/>
    <w:rPr>
      <w:rFonts w:ascii="方正小标宋简体" w:hAnsi="方正小标宋简体" w:eastAsia="方正小标宋简体" w:cs="方正小标宋简体"/>
      <w:kern w:val="0"/>
      <w:sz w:val="44"/>
      <w:szCs w:val="44"/>
      <w:lang w:val="zh-CN" w:bidi="zh-CN"/>
    </w:rPr>
  </w:style>
  <w:style w:type="paragraph" w:customStyle="1" w:styleId="19">
    <w:name w:val="Table Paragraph"/>
    <w:basedOn w:val="1"/>
    <w:qFormat/>
    <w:uiPriority w:val="1"/>
    <w:pPr>
      <w:autoSpaceDE w:val="0"/>
      <w:autoSpaceDN w:val="0"/>
      <w:jc w:val="left"/>
    </w:pPr>
    <w:rPr>
      <w:rFonts w:ascii="仿宋_GB2312" w:hAnsi="仿宋_GB2312" w:cs="仿宋_GB2312"/>
      <w:kern w:val="0"/>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2A14A-ED6F-40C5-8224-A2B07B97CEEB}">
  <ds:schemaRefs/>
</ds:datastoreItem>
</file>

<file path=docProps/app.xml><?xml version="1.0" encoding="utf-8"?>
<Properties xmlns="http://schemas.openxmlformats.org/officeDocument/2006/extended-properties" xmlns:vt="http://schemas.openxmlformats.org/officeDocument/2006/docPropsVTypes">
  <Template>Normal</Template>
  <Pages>12</Pages>
  <Words>1415</Words>
  <Characters>8066</Characters>
  <Lines>67</Lines>
  <Paragraphs>18</Paragraphs>
  <TotalTime>51</TotalTime>
  <ScaleCrop>false</ScaleCrop>
  <LinksUpToDate>false</LinksUpToDate>
  <CharactersWithSpaces>9463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2020-09-15T06:25:00Z</dcterms:created>
  <dc:creator>Z02</dc:creator>
  <cp:lastModifiedBy>大型食肉宠物</cp:lastModifiedBy>
  <cp:lastPrinted>2020-08-10T08:43:00Z</cp:lastPrinted>
  <dcterms:modified xsi:type="dcterms:W3CDTF">2020-10-20T03:31:14Z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